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C01" w:rsidRDefault="00A13C01" w:rsidP="00A13C01">
      <w:pPr>
        <w:pStyle w:val="BodyText2"/>
        <w:bidi w:val="0"/>
        <w:spacing w:line="480" w:lineRule="auto"/>
        <w:jc w:val="left"/>
        <w:rPr>
          <w:rFonts w:asciiTheme="minorBidi" w:hAnsiTheme="minorBidi" w:cstheme="minorBidi"/>
          <w:b/>
          <w:bCs/>
          <w:color w:val="000000" w:themeColor="text1"/>
          <w:sz w:val="22"/>
          <w:szCs w:val="22"/>
          <w:rtl/>
        </w:rPr>
      </w:pPr>
    </w:p>
    <w:p w:rsidR="005D2DD9" w:rsidRPr="0013535B" w:rsidRDefault="00105A8F" w:rsidP="00E02052">
      <w:pPr>
        <w:pStyle w:val="BodyText2"/>
        <w:bidi w:val="0"/>
        <w:spacing w:line="480" w:lineRule="auto"/>
        <w:jc w:val="center"/>
        <w:rPr>
          <w:rFonts w:asciiTheme="majorBidi" w:hAnsiTheme="majorBidi" w:cstheme="majorBidi"/>
          <w:b/>
          <w:bCs/>
          <w:color w:val="000000" w:themeColor="text1"/>
          <w:sz w:val="22"/>
          <w:szCs w:val="22"/>
        </w:rPr>
      </w:pPr>
      <w:r w:rsidRPr="0013535B">
        <w:rPr>
          <w:rFonts w:asciiTheme="majorBidi" w:hAnsiTheme="majorBidi" w:cstheme="majorBidi"/>
          <w:b/>
          <w:bCs/>
          <w:color w:val="000000" w:themeColor="text1"/>
          <w:sz w:val="22"/>
          <w:szCs w:val="22"/>
        </w:rPr>
        <w:t>“</w:t>
      </w:r>
      <w:r w:rsidR="0062704B" w:rsidRPr="0013535B">
        <w:rPr>
          <w:rFonts w:asciiTheme="majorBidi" w:hAnsiTheme="majorBidi" w:cstheme="majorBidi"/>
          <w:b/>
          <w:bCs/>
          <w:color w:val="000000"/>
          <w:sz w:val="22"/>
          <w:szCs w:val="22"/>
        </w:rPr>
        <w:t>Information and Communication Technology</w:t>
      </w:r>
      <w:r w:rsidR="00413F42" w:rsidRPr="0013535B">
        <w:rPr>
          <w:rFonts w:asciiTheme="majorBidi" w:hAnsiTheme="majorBidi" w:cstheme="majorBidi"/>
          <w:b/>
          <w:bCs/>
          <w:color w:val="000000"/>
          <w:sz w:val="22"/>
          <w:szCs w:val="22"/>
        </w:rPr>
        <w:t xml:space="preserve"> Satellite Account Exercise - O</w:t>
      </w:r>
      <w:r w:rsidR="009860F4" w:rsidRPr="0013535B">
        <w:rPr>
          <w:rFonts w:asciiTheme="majorBidi" w:hAnsiTheme="majorBidi" w:cstheme="majorBidi"/>
          <w:b/>
          <w:bCs/>
          <w:color w:val="000000"/>
          <w:sz w:val="22"/>
          <w:szCs w:val="22"/>
        </w:rPr>
        <w:t xml:space="preserve">pportunities and </w:t>
      </w:r>
      <w:r w:rsidR="00E02052">
        <w:rPr>
          <w:rFonts w:asciiTheme="majorBidi" w:hAnsiTheme="majorBidi" w:cstheme="majorBidi"/>
          <w:b/>
          <w:bCs/>
          <w:color w:val="000000"/>
          <w:sz w:val="22"/>
          <w:szCs w:val="22"/>
        </w:rPr>
        <w:t>R</w:t>
      </w:r>
      <w:r w:rsidR="009860F4" w:rsidRPr="0013535B">
        <w:rPr>
          <w:rFonts w:asciiTheme="majorBidi" w:hAnsiTheme="majorBidi" w:cstheme="majorBidi"/>
          <w:b/>
          <w:bCs/>
          <w:color w:val="000000"/>
          <w:sz w:val="22"/>
          <w:szCs w:val="22"/>
        </w:rPr>
        <w:t xml:space="preserve">isk from </w:t>
      </w:r>
      <w:r w:rsidR="00E02052">
        <w:rPr>
          <w:rFonts w:asciiTheme="majorBidi" w:hAnsiTheme="majorBidi" w:cstheme="majorBidi"/>
          <w:b/>
          <w:bCs/>
          <w:color w:val="000000"/>
          <w:sz w:val="22"/>
          <w:szCs w:val="22"/>
        </w:rPr>
        <w:t>A</w:t>
      </w:r>
      <w:r w:rsidR="009860F4" w:rsidRPr="0013535B">
        <w:rPr>
          <w:rFonts w:asciiTheme="majorBidi" w:hAnsiTheme="majorBidi" w:cstheme="majorBidi"/>
          <w:b/>
          <w:bCs/>
          <w:color w:val="000000"/>
          <w:sz w:val="22"/>
          <w:szCs w:val="22"/>
        </w:rPr>
        <w:t xml:space="preserve">lternative </w:t>
      </w:r>
      <w:r w:rsidR="00E02052">
        <w:rPr>
          <w:rFonts w:asciiTheme="majorBidi" w:hAnsiTheme="majorBidi" w:cstheme="majorBidi"/>
          <w:b/>
          <w:bCs/>
          <w:color w:val="000000"/>
          <w:sz w:val="22"/>
          <w:szCs w:val="22"/>
        </w:rPr>
        <w:t>M</w:t>
      </w:r>
      <w:r w:rsidR="009860F4" w:rsidRPr="0013535B">
        <w:rPr>
          <w:rFonts w:asciiTheme="majorBidi" w:hAnsiTheme="majorBidi" w:cstheme="majorBidi"/>
          <w:b/>
          <w:bCs/>
          <w:color w:val="000000"/>
          <w:sz w:val="22"/>
          <w:szCs w:val="22"/>
        </w:rPr>
        <w:t>ethods</w:t>
      </w:r>
      <w:r w:rsidRPr="0013535B">
        <w:rPr>
          <w:rFonts w:asciiTheme="majorBidi" w:hAnsiTheme="majorBidi" w:cstheme="majorBidi"/>
          <w:b/>
          <w:bCs/>
          <w:color w:val="000000" w:themeColor="text1"/>
          <w:sz w:val="22"/>
          <w:szCs w:val="22"/>
        </w:rPr>
        <w:t>”</w:t>
      </w:r>
    </w:p>
    <w:p w:rsidR="00F52E8E" w:rsidRPr="0013535B" w:rsidRDefault="00F52E8E" w:rsidP="00F52E8E">
      <w:pPr>
        <w:pStyle w:val="BodyText2"/>
        <w:bidi w:val="0"/>
        <w:spacing w:line="480" w:lineRule="auto"/>
        <w:jc w:val="center"/>
        <w:rPr>
          <w:rFonts w:asciiTheme="majorBidi" w:hAnsiTheme="majorBidi" w:cstheme="majorBidi"/>
          <w:b/>
          <w:bCs/>
          <w:color w:val="000000" w:themeColor="text1"/>
          <w:sz w:val="22"/>
          <w:szCs w:val="22"/>
        </w:rPr>
      </w:pPr>
      <w:r w:rsidRPr="0013535B">
        <w:rPr>
          <w:rFonts w:asciiTheme="majorBidi" w:hAnsiTheme="majorBidi" w:cstheme="majorBidi"/>
          <w:b/>
          <w:bCs/>
          <w:color w:val="000000" w:themeColor="text1"/>
          <w:sz w:val="22"/>
          <w:szCs w:val="22"/>
        </w:rPr>
        <w:t>Case Study: Palestine</w:t>
      </w:r>
    </w:p>
    <w:p w:rsidR="00E72F0B" w:rsidRPr="0013535B" w:rsidRDefault="00E72F0B" w:rsidP="00E72F0B">
      <w:pPr>
        <w:pStyle w:val="BodyText2"/>
        <w:bidi w:val="0"/>
        <w:spacing w:line="480" w:lineRule="auto"/>
        <w:jc w:val="center"/>
        <w:rPr>
          <w:rFonts w:asciiTheme="majorBidi" w:hAnsiTheme="majorBidi" w:cstheme="majorBidi"/>
          <w:b/>
          <w:bCs/>
          <w:color w:val="000000" w:themeColor="text1"/>
          <w:sz w:val="22"/>
          <w:szCs w:val="22"/>
        </w:rPr>
      </w:pPr>
      <w:r w:rsidRPr="0013535B">
        <w:rPr>
          <w:rFonts w:asciiTheme="majorBidi" w:hAnsiTheme="majorBidi" w:cstheme="majorBidi"/>
          <w:b/>
          <w:bCs/>
          <w:color w:val="000000" w:themeColor="text1"/>
          <w:sz w:val="22"/>
          <w:szCs w:val="22"/>
        </w:rPr>
        <w:t xml:space="preserve">Ayah </w:t>
      </w:r>
      <w:proofErr w:type="spellStart"/>
      <w:r w:rsidRPr="0013535B">
        <w:rPr>
          <w:rFonts w:asciiTheme="majorBidi" w:hAnsiTheme="majorBidi" w:cstheme="majorBidi"/>
          <w:b/>
          <w:bCs/>
          <w:color w:val="000000" w:themeColor="text1"/>
          <w:sz w:val="22"/>
          <w:szCs w:val="22"/>
        </w:rPr>
        <w:t>Fateen</w:t>
      </w:r>
      <w:proofErr w:type="spellEnd"/>
      <w:r w:rsidRPr="0013535B">
        <w:rPr>
          <w:rFonts w:asciiTheme="majorBidi" w:hAnsiTheme="majorBidi" w:cstheme="majorBidi"/>
          <w:b/>
          <w:bCs/>
          <w:color w:val="000000" w:themeColor="text1"/>
          <w:sz w:val="22"/>
          <w:szCs w:val="22"/>
        </w:rPr>
        <w:t xml:space="preserve"> Rabi</w:t>
      </w:r>
    </w:p>
    <w:p w:rsidR="00E72F0B" w:rsidRPr="0013535B" w:rsidRDefault="00E72F0B" w:rsidP="00E72F0B">
      <w:pPr>
        <w:pStyle w:val="BodyText2"/>
        <w:bidi w:val="0"/>
        <w:spacing w:line="480" w:lineRule="auto"/>
        <w:jc w:val="left"/>
        <w:rPr>
          <w:rFonts w:asciiTheme="majorBidi" w:hAnsiTheme="majorBidi" w:cstheme="majorBidi"/>
          <w:b/>
          <w:bCs/>
          <w:color w:val="000000" w:themeColor="text1"/>
          <w:sz w:val="22"/>
          <w:szCs w:val="22"/>
        </w:rPr>
      </w:pPr>
      <w:r w:rsidRPr="0013535B">
        <w:rPr>
          <w:rFonts w:asciiTheme="majorBidi" w:hAnsiTheme="majorBidi" w:cstheme="majorBidi"/>
          <w:b/>
          <w:bCs/>
          <w:color w:val="000000" w:themeColor="text1"/>
          <w:sz w:val="22"/>
          <w:szCs w:val="22"/>
        </w:rPr>
        <w:t xml:space="preserve">Statistician / Statistical Services Sector </w:t>
      </w:r>
      <w:r w:rsidR="00CC51A7" w:rsidRPr="0013535B">
        <w:rPr>
          <w:rFonts w:asciiTheme="majorBidi" w:hAnsiTheme="majorBidi" w:cstheme="majorBidi"/>
          <w:b/>
          <w:bCs/>
          <w:color w:val="000000" w:themeColor="text1"/>
          <w:sz w:val="22"/>
          <w:szCs w:val="22"/>
        </w:rPr>
        <w:t>Department</w:t>
      </w:r>
    </w:p>
    <w:p w:rsidR="00E72F0B" w:rsidRPr="0013535B" w:rsidRDefault="00E72F0B" w:rsidP="00E72F0B">
      <w:pPr>
        <w:pStyle w:val="BodyText2"/>
        <w:bidi w:val="0"/>
        <w:spacing w:line="480" w:lineRule="auto"/>
        <w:jc w:val="left"/>
        <w:rPr>
          <w:rFonts w:asciiTheme="majorBidi" w:hAnsiTheme="majorBidi" w:cstheme="majorBidi"/>
          <w:b/>
          <w:bCs/>
          <w:color w:val="000000" w:themeColor="text1"/>
          <w:sz w:val="22"/>
          <w:szCs w:val="22"/>
        </w:rPr>
      </w:pPr>
      <w:r w:rsidRPr="0013535B">
        <w:rPr>
          <w:rFonts w:asciiTheme="majorBidi" w:hAnsiTheme="majorBidi" w:cstheme="majorBidi"/>
          <w:b/>
          <w:bCs/>
          <w:color w:val="000000" w:themeColor="text1"/>
          <w:sz w:val="22"/>
          <w:szCs w:val="22"/>
        </w:rPr>
        <w:t xml:space="preserve">Palestinian Central Bureau of Statistics(PCBS) </w:t>
      </w:r>
    </w:p>
    <w:p w:rsidR="00E72F0B" w:rsidRPr="0013535B" w:rsidRDefault="00E72F0B" w:rsidP="00E72F0B">
      <w:pPr>
        <w:pStyle w:val="BodyText2"/>
        <w:bidi w:val="0"/>
        <w:spacing w:line="480" w:lineRule="auto"/>
        <w:jc w:val="left"/>
        <w:rPr>
          <w:rFonts w:asciiTheme="majorBidi" w:hAnsiTheme="majorBidi" w:cstheme="majorBidi"/>
          <w:b/>
          <w:bCs/>
          <w:color w:val="000000" w:themeColor="text1"/>
          <w:sz w:val="22"/>
          <w:szCs w:val="22"/>
        </w:rPr>
      </w:pPr>
      <w:r w:rsidRPr="0013535B">
        <w:rPr>
          <w:rFonts w:asciiTheme="majorBidi" w:hAnsiTheme="majorBidi" w:cstheme="majorBidi"/>
          <w:b/>
          <w:bCs/>
          <w:color w:val="000000" w:themeColor="text1"/>
          <w:sz w:val="22"/>
          <w:szCs w:val="22"/>
        </w:rPr>
        <w:t>Ramallah – Palestine</w:t>
      </w:r>
    </w:p>
    <w:p w:rsidR="00E72F0B" w:rsidRPr="0013535B" w:rsidRDefault="00E72F0B" w:rsidP="00E72F0B">
      <w:pPr>
        <w:pStyle w:val="BodyText2"/>
        <w:bidi w:val="0"/>
        <w:spacing w:line="480" w:lineRule="auto"/>
        <w:ind w:firstLine="105"/>
        <w:jc w:val="left"/>
        <w:rPr>
          <w:rFonts w:asciiTheme="majorBidi" w:hAnsiTheme="majorBidi" w:cstheme="majorBidi"/>
          <w:b/>
          <w:bCs/>
          <w:color w:val="000000" w:themeColor="text1"/>
          <w:sz w:val="22"/>
          <w:szCs w:val="22"/>
        </w:rPr>
      </w:pPr>
      <w:r w:rsidRPr="0013535B">
        <w:rPr>
          <w:rFonts w:asciiTheme="majorBidi" w:hAnsiTheme="majorBidi" w:cstheme="majorBidi"/>
          <w:b/>
          <w:bCs/>
          <w:sz w:val="22"/>
          <w:szCs w:val="22"/>
        </w:rPr>
        <w:t>E-Mail:</w:t>
      </w:r>
      <w:r w:rsidRPr="0013535B">
        <w:rPr>
          <w:rFonts w:asciiTheme="majorBidi" w:hAnsiTheme="majorBidi" w:cstheme="majorBidi"/>
          <w:b/>
          <w:bCs/>
          <w:color w:val="000000" w:themeColor="text1"/>
          <w:sz w:val="22"/>
          <w:szCs w:val="22"/>
        </w:rPr>
        <w:t xml:space="preserve"> </w:t>
      </w:r>
      <w:hyperlink r:id="rId8" w:history="1">
        <w:r w:rsidRPr="0013535B">
          <w:rPr>
            <w:rStyle w:val="Hyperlink"/>
            <w:rFonts w:asciiTheme="majorBidi" w:hAnsiTheme="majorBidi" w:cstheme="majorBidi"/>
            <w:b/>
            <w:bCs/>
            <w:sz w:val="22"/>
            <w:szCs w:val="22"/>
          </w:rPr>
          <w:t>arabi@pcbs.gov.ps</w:t>
        </w:r>
      </w:hyperlink>
    </w:p>
    <w:p w:rsidR="00A13155" w:rsidRPr="0013535B" w:rsidRDefault="00C5622A" w:rsidP="00C5622A">
      <w:pPr>
        <w:pStyle w:val="BodyText2"/>
        <w:bidi w:val="0"/>
        <w:jc w:val="left"/>
        <w:rPr>
          <w:rFonts w:asciiTheme="majorBidi" w:hAnsiTheme="majorBidi" w:cstheme="majorBidi"/>
          <w:b/>
          <w:bCs/>
          <w:color w:val="000000" w:themeColor="text1"/>
          <w:sz w:val="22"/>
          <w:szCs w:val="22"/>
        </w:rPr>
      </w:pPr>
      <w:r w:rsidRPr="0013535B">
        <w:rPr>
          <w:rFonts w:asciiTheme="majorBidi" w:hAnsiTheme="majorBidi" w:cstheme="majorBidi"/>
          <w:b/>
          <w:bCs/>
          <w:sz w:val="22"/>
          <w:szCs w:val="22"/>
        </w:rPr>
        <w:t>Abstract</w:t>
      </w:r>
      <w:r w:rsidR="00A13155" w:rsidRPr="0013535B">
        <w:rPr>
          <w:rFonts w:asciiTheme="majorBidi" w:hAnsiTheme="majorBidi" w:cstheme="majorBidi"/>
          <w:b/>
          <w:bCs/>
          <w:color w:val="000000" w:themeColor="text1"/>
          <w:sz w:val="22"/>
          <w:szCs w:val="22"/>
        </w:rPr>
        <w:t xml:space="preserve"> </w:t>
      </w:r>
    </w:p>
    <w:p w:rsidR="00A13155" w:rsidRPr="0013535B" w:rsidRDefault="00A13155" w:rsidP="001A5A7B">
      <w:pPr>
        <w:pStyle w:val="BodyText2"/>
        <w:bidi w:val="0"/>
        <w:jc w:val="both"/>
        <w:rPr>
          <w:rFonts w:asciiTheme="majorBidi" w:hAnsiTheme="majorBidi" w:cstheme="majorBidi"/>
          <w:b/>
          <w:bCs/>
          <w:color w:val="000000" w:themeColor="text1"/>
          <w:sz w:val="22"/>
          <w:szCs w:val="22"/>
        </w:rPr>
      </w:pPr>
      <w:r w:rsidRPr="0013535B">
        <w:rPr>
          <w:rFonts w:asciiTheme="majorBidi" w:hAnsiTheme="majorBidi" w:cstheme="majorBidi"/>
          <w:color w:val="222222"/>
          <w:sz w:val="22"/>
          <w:szCs w:val="22"/>
        </w:rPr>
        <w:t>The importance of the</w:t>
      </w:r>
      <w:r w:rsidR="0062704B" w:rsidRPr="0013535B">
        <w:rPr>
          <w:rFonts w:asciiTheme="majorBidi" w:hAnsiTheme="majorBidi" w:cstheme="majorBidi"/>
          <w:color w:val="222222"/>
          <w:sz w:val="22"/>
          <w:szCs w:val="22"/>
        </w:rPr>
        <w:t xml:space="preserve"> Informatio</w:t>
      </w:r>
      <w:r w:rsidR="001A5A7B">
        <w:rPr>
          <w:rFonts w:asciiTheme="majorBidi" w:hAnsiTheme="majorBidi" w:cstheme="majorBidi"/>
          <w:color w:val="222222"/>
          <w:sz w:val="22"/>
          <w:szCs w:val="22"/>
        </w:rPr>
        <w:t xml:space="preserve">n and Communication Technology </w:t>
      </w:r>
      <w:r w:rsidR="0062704B" w:rsidRPr="0013535B">
        <w:rPr>
          <w:rFonts w:asciiTheme="majorBidi" w:hAnsiTheme="majorBidi" w:cstheme="majorBidi"/>
          <w:color w:val="222222"/>
          <w:sz w:val="22"/>
          <w:szCs w:val="22"/>
        </w:rPr>
        <w:t>(</w:t>
      </w:r>
      <w:r w:rsidR="00134A1E" w:rsidRPr="0013535B">
        <w:rPr>
          <w:rFonts w:asciiTheme="majorBidi" w:hAnsiTheme="majorBidi" w:cstheme="majorBidi"/>
          <w:color w:val="222222"/>
          <w:sz w:val="22"/>
          <w:szCs w:val="22"/>
        </w:rPr>
        <w:t>ICT</w:t>
      </w:r>
      <w:r w:rsidR="0062704B" w:rsidRPr="0013535B">
        <w:rPr>
          <w:rFonts w:asciiTheme="majorBidi" w:hAnsiTheme="majorBidi" w:cstheme="majorBidi"/>
          <w:color w:val="222222"/>
          <w:sz w:val="22"/>
          <w:szCs w:val="22"/>
        </w:rPr>
        <w:t>)</w:t>
      </w:r>
      <w:r w:rsidRPr="0013535B">
        <w:rPr>
          <w:rFonts w:asciiTheme="majorBidi" w:hAnsiTheme="majorBidi" w:cstheme="majorBidi"/>
          <w:color w:val="222222"/>
          <w:sz w:val="22"/>
          <w:szCs w:val="22"/>
        </w:rPr>
        <w:t xml:space="preserve"> sector in the Palestinian economy and the global economy arose from the fact that it involves in many economic activities such as manufacturing, trade (whole sale and retail), telecommunication services and media. </w:t>
      </w:r>
    </w:p>
    <w:p w:rsidR="00A13155" w:rsidRPr="0013535B" w:rsidRDefault="00A13155" w:rsidP="00E02052">
      <w:pPr>
        <w:pStyle w:val="BodyText2"/>
        <w:bidi w:val="0"/>
        <w:jc w:val="both"/>
        <w:rPr>
          <w:rFonts w:asciiTheme="majorBidi" w:hAnsiTheme="majorBidi" w:cstheme="majorBidi"/>
          <w:color w:val="222222"/>
          <w:sz w:val="22"/>
          <w:szCs w:val="22"/>
        </w:rPr>
      </w:pPr>
      <w:r w:rsidRPr="0013535B">
        <w:rPr>
          <w:rFonts w:asciiTheme="majorBidi" w:hAnsiTheme="majorBidi" w:cstheme="majorBidi"/>
          <w:color w:val="222222"/>
          <w:sz w:val="22"/>
          <w:szCs w:val="22"/>
        </w:rPr>
        <w:t xml:space="preserve">The urgent need to study </w:t>
      </w:r>
      <w:r w:rsidR="0062704B" w:rsidRPr="0013535B">
        <w:rPr>
          <w:rFonts w:asciiTheme="majorBidi" w:hAnsiTheme="majorBidi" w:cstheme="majorBidi"/>
          <w:color w:val="222222"/>
          <w:sz w:val="22"/>
          <w:szCs w:val="22"/>
        </w:rPr>
        <w:t>Information and Communication Technology</w:t>
      </w:r>
      <w:r w:rsidRPr="0013535B">
        <w:rPr>
          <w:rFonts w:asciiTheme="majorBidi" w:hAnsiTheme="majorBidi" w:cstheme="majorBidi"/>
          <w:color w:val="222222"/>
          <w:sz w:val="22"/>
          <w:szCs w:val="22"/>
        </w:rPr>
        <w:t xml:space="preserve"> satellite accounts</w:t>
      </w:r>
      <w:r w:rsidR="0062704B" w:rsidRPr="0013535B">
        <w:rPr>
          <w:rFonts w:asciiTheme="majorBidi" w:hAnsiTheme="majorBidi" w:cstheme="majorBidi"/>
          <w:color w:val="222222"/>
          <w:sz w:val="22"/>
          <w:szCs w:val="22"/>
        </w:rPr>
        <w:t xml:space="preserve"> (</w:t>
      </w:r>
      <w:r w:rsidR="00134A1E" w:rsidRPr="0013535B">
        <w:rPr>
          <w:rFonts w:asciiTheme="majorBidi" w:hAnsiTheme="majorBidi" w:cstheme="majorBidi"/>
          <w:color w:val="222222"/>
          <w:sz w:val="22"/>
          <w:szCs w:val="22"/>
        </w:rPr>
        <w:t>ICT</w:t>
      </w:r>
      <w:r w:rsidR="0062704B" w:rsidRPr="0013535B">
        <w:rPr>
          <w:rFonts w:asciiTheme="majorBidi" w:hAnsiTheme="majorBidi" w:cstheme="majorBidi"/>
          <w:color w:val="222222"/>
          <w:sz w:val="22"/>
          <w:szCs w:val="22"/>
        </w:rPr>
        <w:t>SA)</w:t>
      </w:r>
      <w:r w:rsidRPr="0013535B">
        <w:rPr>
          <w:rFonts w:asciiTheme="majorBidi" w:hAnsiTheme="majorBidi" w:cstheme="majorBidi"/>
          <w:color w:val="222222"/>
          <w:sz w:val="22"/>
          <w:szCs w:val="22"/>
        </w:rPr>
        <w:t xml:space="preserve"> appeared recently due to the rapid </w:t>
      </w:r>
      <w:r w:rsidR="00E02052">
        <w:rPr>
          <w:rFonts w:asciiTheme="majorBidi" w:hAnsiTheme="majorBidi" w:cstheme="majorBidi"/>
          <w:color w:val="222222"/>
          <w:sz w:val="22"/>
          <w:szCs w:val="22"/>
        </w:rPr>
        <w:t xml:space="preserve">global </w:t>
      </w:r>
      <w:r w:rsidRPr="0013535B">
        <w:rPr>
          <w:rFonts w:asciiTheme="majorBidi" w:hAnsiTheme="majorBidi" w:cstheme="majorBidi"/>
          <w:color w:val="222222"/>
          <w:sz w:val="22"/>
          <w:szCs w:val="22"/>
        </w:rPr>
        <w:t>development in the field of information and communication technology, which led to the development in the culture and civilization of the community and thus raising the level of science and knowledge.</w:t>
      </w:r>
    </w:p>
    <w:p w:rsidR="00A13155" w:rsidRPr="0013535B" w:rsidRDefault="00A13155" w:rsidP="00E02052">
      <w:pPr>
        <w:pStyle w:val="BodyText2"/>
        <w:bidi w:val="0"/>
        <w:jc w:val="both"/>
        <w:rPr>
          <w:rFonts w:asciiTheme="majorBidi" w:hAnsiTheme="majorBidi" w:cstheme="majorBidi"/>
          <w:color w:val="222222"/>
          <w:sz w:val="22"/>
          <w:szCs w:val="22"/>
        </w:rPr>
      </w:pPr>
      <w:r w:rsidRPr="0013535B">
        <w:rPr>
          <w:rFonts w:asciiTheme="majorBidi" w:hAnsiTheme="majorBidi" w:cstheme="majorBidi"/>
          <w:color w:val="222222"/>
          <w:sz w:val="22"/>
          <w:szCs w:val="22"/>
        </w:rPr>
        <w:t xml:space="preserve">The advantage of a satellite account is </w:t>
      </w:r>
      <w:r w:rsidR="00E02052">
        <w:rPr>
          <w:rFonts w:asciiTheme="majorBidi" w:hAnsiTheme="majorBidi" w:cstheme="majorBidi"/>
          <w:color w:val="222222"/>
          <w:sz w:val="22"/>
          <w:szCs w:val="22"/>
        </w:rPr>
        <w:t xml:space="preserve">the ability to </w:t>
      </w:r>
      <w:r w:rsidRPr="0013535B">
        <w:rPr>
          <w:rFonts w:asciiTheme="majorBidi" w:hAnsiTheme="majorBidi" w:cstheme="majorBidi"/>
          <w:color w:val="222222"/>
          <w:sz w:val="22"/>
          <w:szCs w:val="22"/>
        </w:rPr>
        <w:t xml:space="preserve">isolate the </w:t>
      </w:r>
      <w:r w:rsidR="00134A1E" w:rsidRPr="0013535B">
        <w:rPr>
          <w:rFonts w:asciiTheme="majorBidi" w:hAnsiTheme="majorBidi" w:cstheme="majorBidi"/>
          <w:color w:val="222222"/>
          <w:sz w:val="22"/>
          <w:szCs w:val="22"/>
        </w:rPr>
        <w:t>ICT</w:t>
      </w:r>
      <w:r w:rsidRPr="0013535B">
        <w:rPr>
          <w:rFonts w:asciiTheme="majorBidi" w:hAnsiTheme="majorBidi" w:cstheme="majorBidi"/>
          <w:color w:val="222222"/>
          <w:sz w:val="22"/>
          <w:szCs w:val="22"/>
        </w:rPr>
        <w:t xml:space="preserve"> supply an</w:t>
      </w:r>
      <w:r w:rsidR="00CE4B71">
        <w:rPr>
          <w:rFonts w:asciiTheme="majorBidi" w:hAnsiTheme="majorBidi" w:cstheme="majorBidi"/>
          <w:color w:val="222222"/>
          <w:sz w:val="22"/>
          <w:szCs w:val="22"/>
        </w:rPr>
        <w:t>d demand in various industries, i</w:t>
      </w:r>
      <w:r w:rsidRPr="0013535B">
        <w:rPr>
          <w:rFonts w:asciiTheme="majorBidi" w:hAnsiTheme="majorBidi" w:cstheme="majorBidi"/>
          <w:color w:val="222222"/>
          <w:sz w:val="22"/>
          <w:szCs w:val="22"/>
        </w:rPr>
        <w:t xml:space="preserve">t allows the component of supply and </w:t>
      </w:r>
      <w:r w:rsidR="001707EF">
        <w:rPr>
          <w:rFonts w:asciiTheme="majorBidi" w:hAnsiTheme="majorBidi" w:cstheme="majorBidi"/>
          <w:color w:val="222222"/>
          <w:sz w:val="22"/>
          <w:szCs w:val="22"/>
        </w:rPr>
        <w:t>use</w:t>
      </w:r>
      <w:r w:rsidRPr="0013535B">
        <w:rPr>
          <w:rFonts w:asciiTheme="majorBidi" w:hAnsiTheme="majorBidi" w:cstheme="majorBidi"/>
          <w:color w:val="222222"/>
          <w:sz w:val="22"/>
          <w:szCs w:val="22"/>
        </w:rPr>
        <w:t xml:space="preserve"> tables (SUT) to be examined with greater flexibility than the frame work of the national accounts typically allows.[1]</w:t>
      </w:r>
    </w:p>
    <w:p w:rsidR="00A13155" w:rsidRPr="0013535B" w:rsidRDefault="00A13155" w:rsidP="00A13155">
      <w:pPr>
        <w:pStyle w:val="BodyText2"/>
        <w:bidi w:val="0"/>
        <w:jc w:val="both"/>
        <w:rPr>
          <w:rFonts w:asciiTheme="majorBidi" w:hAnsiTheme="majorBidi" w:cstheme="majorBidi"/>
          <w:color w:val="222222"/>
          <w:sz w:val="22"/>
          <w:szCs w:val="22"/>
        </w:rPr>
      </w:pPr>
      <w:r w:rsidRPr="0013535B">
        <w:rPr>
          <w:rFonts w:asciiTheme="majorBidi" w:hAnsiTheme="majorBidi" w:cstheme="majorBidi"/>
          <w:color w:val="222222"/>
          <w:sz w:val="22"/>
          <w:szCs w:val="22"/>
        </w:rPr>
        <w:t>So gaining data about its impact on economy in terms of expenditure and production is necessary, which in turn serves decision makers, researchers</w:t>
      </w:r>
      <w:r w:rsidR="00E02052">
        <w:rPr>
          <w:rFonts w:asciiTheme="majorBidi" w:hAnsiTheme="majorBidi" w:cstheme="majorBidi"/>
          <w:color w:val="222222"/>
          <w:sz w:val="22"/>
          <w:szCs w:val="22"/>
        </w:rPr>
        <w:t>,</w:t>
      </w:r>
      <w:r w:rsidRPr="0013535B">
        <w:rPr>
          <w:rFonts w:asciiTheme="majorBidi" w:hAnsiTheme="majorBidi" w:cstheme="majorBidi"/>
          <w:color w:val="222222"/>
          <w:sz w:val="22"/>
          <w:szCs w:val="22"/>
        </w:rPr>
        <w:t xml:space="preserve"> and those interested in the development of the information sector.</w:t>
      </w:r>
    </w:p>
    <w:p w:rsidR="00A13155" w:rsidRPr="0013535B" w:rsidRDefault="00E02052" w:rsidP="0094209A">
      <w:pPr>
        <w:pStyle w:val="BodyText2"/>
        <w:bidi w:val="0"/>
        <w:jc w:val="both"/>
        <w:rPr>
          <w:rFonts w:asciiTheme="majorBidi" w:hAnsiTheme="majorBidi" w:cstheme="majorBidi"/>
          <w:sz w:val="22"/>
          <w:szCs w:val="22"/>
        </w:rPr>
      </w:pPr>
      <w:r>
        <w:rPr>
          <w:rFonts w:asciiTheme="majorBidi" w:hAnsiTheme="majorBidi" w:cstheme="majorBidi"/>
          <w:sz w:val="22"/>
          <w:szCs w:val="22"/>
        </w:rPr>
        <w:t>It</w:t>
      </w:r>
      <w:r w:rsidR="00A13155" w:rsidRPr="0013535B">
        <w:rPr>
          <w:rFonts w:asciiTheme="majorBidi" w:hAnsiTheme="majorBidi" w:cstheme="majorBidi"/>
          <w:sz w:val="22"/>
          <w:szCs w:val="22"/>
        </w:rPr>
        <w:t xml:space="preserve"> </w:t>
      </w:r>
      <w:r w:rsidR="00952118" w:rsidRPr="0013535B">
        <w:rPr>
          <w:rFonts w:asciiTheme="majorBidi" w:hAnsiTheme="majorBidi" w:cstheme="majorBidi"/>
          <w:sz w:val="22"/>
          <w:szCs w:val="22"/>
        </w:rPr>
        <w:t>worth</w:t>
      </w:r>
      <w:r w:rsidR="00952118">
        <w:rPr>
          <w:rFonts w:asciiTheme="majorBidi" w:hAnsiTheme="majorBidi" w:cstheme="majorBidi"/>
          <w:sz w:val="22"/>
          <w:szCs w:val="22"/>
        </w:rPr>
        <w:t>'s</w:t>
      </w:r>
      <w:r w:rsidR="00A13155" w:rsidRPr="0013535B">
        <w:rPr>
          <w:rFonts w:asciiTheme="majorBidi" w:hAnsiTheme="majorBidi" w:cstheme="majorBidi"/>
          <w:sz w:val="22"/>
          <w:szCs w:val="22"/>
        </w:rPr>
        <w:t xml:space="preserve"> mentioning that </w:t>
      </w:r>
      <w:r w:rsidR="00134A1E" w:rsidRPr="0013535B">
        <w:rPr>
          <w:rFonts w:asciiTheme="majorBidi" w:hAnsiTheme="majorBidi" w:cstheme="majorBidi"/>
          <w:sz w:val="22"/>
          <w:szCs w:val="22"/>
        </w:rPr>
        <w:t>ICT</w:t>
      </w:r>
      <w:r w:rsidR="00A13155" w:rsidRPr="0013535B">
        <w:rPr>
          <w:rFonts w:asciiTheme="majorBidi" w:hAnsiTheme="majorBidi" w:cstheme="majorBidi"/>
          <w:sz w:val="22"/>
          <w:szCs w:val="22"/>
        </w:rPr>
        <w:t xml:space="preserve">SA in Palestinian Central Bureau of Statistics (PCBS) is still in the study phase and not published yet. </w:t>
      </w:r>
    </w:p>
    <w:p w:rsidR="00561ED7" w:rsidRDefault="00561ED7" w:rsidP="00A13155">
      <w:pPr>
        <w:pStyle w:val="BodyText2"/>
        <w:bidi w:val="0"/>
        <w:jc w:val="both"/>
        <w:rPr>
          <w:rFonts w:asciiTheme="majorBidi" w:hAnsiTheme="majorBidi" w:cstheme="majorBidi"/>
          <w:b/>
          <w:bCs/>
          <w:sz w:val="22"/>
          <w:szCs w:val="22"/>
        </w:rPr>
      </w:pPr>
    </w:p>
    <w:p w:rsidR="00A13155" w:rsidRPr="0013535B" w:rsidRDefault="00A13155" w:rsidP="00561ED7">
      <w:pPr>
        <w:pStyle w:val="BodyText2"/>
        <w:bidi w:val="0"/>
        <w:jc w:val="both"/>
        <w:rPr>
          <w:rFonts w:asciiTheme="majorBidi" w:hAnsiTheme="majorBidi" w:cstheme="majorBidi"/>
          <w:sz w:val="22"/>
          <w:szCs w:val="22"/>
        </w:rPr>
      </w:pPr>
      <w:r w:rsidRPr="0013535B">
        <w:rPr>
          <w:rFonts w:asciiTheme="majorBidi" w:hAnsiTheme="majorBidi" w:cstheme="majorBidi"/>
          <w:b/>
          <w:bCs/>
          <w:sz w:val="22"/>
          <w:szCs w:val="22"/>
        </w:rPr>
        <w:t>Key Words</w:t>
      </w:r>
      <w:r w:rsidRPr="0013535B">
        <w:rPr>
          <w:rFonts w:asciiTheme="majorBidi" w:hAnsiTheme="majorBidi" w:cstheme="majorBidi"/>
          <w:b/>
          <w:bCs/>
          <w:color w:val="000000" w:themeColor="text1"/>
          <w:sz w:val="22"/>
          <w:szCs w:val="22"/>
        </w:rPr>
        <w:t xml:space="preserve"> </w:t>
      </w:r>
    </w:p>
    <w:p w:rsidR="00A13155" w:rsidRPr="0013535B" w:rsidRDefault="00A42D00" w:rsidP="00A13155">
      <w:pPr>
        <w:spacing w:line="240" w:lineRule="auto"/>
        <w:jc w:val="both"/>
        <w:rPr>
          <w:rFonts w:asciiTheme="majorBidi" w:hAnsiTheme="majorBidi" w:cstheme="majorBidi"/>
          <w:rtl/>
        </w:rPr>
      </w:pPr>
      <w:r>
        <w:rPr>
          <w:rFonts w:asciiTheme="majorBidi" w:hAnsiTheme="majorBidi" w:cstheme="majorBidi"/>
        </w:rPr>
        <w:t>PCBS</w:t>
      </w:r>
      <w:r w:rsidR="00952118">
        <w:rPr>
          <w:rFonts w:asciiTheme="majorBidi" w:hAnsiTheme="majorBidi" w:cstheme="majorBidi"/>
        </w:rPr>
        <w:t>, data sources</w:t>
      </w:r>
      <w:r w:rsidR="009A6F2A">
        <w:rPr>
          <w:rFonts w:asciiTheme="majorBidi" w:hAnsiTheme="majorBidi" w:cstheme="majorBidi"/>
        </w:rPr>
        <w:t>, SUT, OECD.</w:t>
      </w:r>
    </w:p>
    <w:p w:rsidR="00A42D00" w:rsidRDefault="00A13155" w:rsidP="00A42D00">
      <w:pPr>
        <w:pStyle w:val="ListParagraph"/>
        <w:numPr>
          <w:ilvl w:val="0"/>
          <w:numId w:val="18"/>
        </w:numPr>
        <w:bidi w:val="0"/>
        <w:spacing w:line="240" w:lineRule="auto"/>
        <w:jc w:val="both"/>
        <w:rPr>
          <w:rFonts w:asciiTheme="majorBidi" w:hAnsiTheme="majorBidi" w:cstheme="majorBidi"/>
          <w:b/>
          <w:bCs/>
          <w:color w:val="000000" w:themeColor="text1"/>
        </w:rPr>
      </w:pPr>
      <w:r w:rsidRPr="0013535B">
        <w:rPr>
          <w:rFonts w:asciiTheme="majorBidi" w:hAnsiTheme="majorBidi" w:cstheme="majorBidi"/>
          <w:b/>
          <w:bCs/>
          <w:color w:val="000000" w:themeColor="text1"/>
        </w:rPr>
        <w:t>Introduction</w:t>
      </w:r>
    </w:p>
    <w:p w:rsidR="00A42D00" w:rsidRDefault="00C5622A" w:rsidP="0022736A">
      <w:pPr>
        <w:pStyle w:val="ListParagraph"/>
        <w:bidi w:val="0"/>
        <w:spacing w:line="240" w:lineRule="auto"/>
        <w:ind w:left="0"/>
        <w:jc w:val="both"/>
        <w:rPr>
          <w:rFonts w:asciiTheme="majorBidi" w:hAnsiTheme="majorBidi" w:cstheme="majorBidi"/>
          <w:b/>
          <w:bCs/>
          <w:color w:val="000000" w:themeColor="text1"/>
        </w:rPr>
      </w:pPr>
      <w:r w:rsidRPr="00A42D00">
        <w:rPr>
          <w:rFonts w:asciiTheme="majorBidi" w:eastAsia="Times New Roman" w:hAnsiTheme="majorBidi" w:cstheme="majorBidi"/>
          <w:lang w:eastAsia="ar-SA"/>
        </w:rPr>
        <w:t>As the primary provider of officia</w:t>
      </w:r>
      <w:r w:rsidR="006C54D5" w:rsidRPr="00A42D00">
        <w:rPr>
          <w:rFonts w:asciiTheme="majorBidi" w:eastAsia="Times New Roman" w:hAnsiTheme="majorBidi" w:cstheme="majorBidi"/>
          <w:lang w:eastAsia="ar-SA"/>
        </w:rPr>
        <w:t>l statistics for Palestine, PCBS</w:t>
      </w:r>
      <w:r w:rsidRPr="00A42D00">
        <w:rPr>
          <w:rFonts w:asciiTheme="majorBidi" w:eastAsia="Times New Roman" w:hAnsiTheme="majorBidi" w:cstheme="majorBidi"/>
          <w:lang w:eastAsia="ar-SA"/>
        </w:rPr>
        <w:t xml:space="preserve"> </w:t>
      </w:r>
      <w:r w:rsidR="001B44A6" w:rsidRPr="00A42D00">
        <w:rPr>
          <w:rFonts w:asciiTheme="majorBidi" w:eastAsia="Times New Roman" w:hAnsiTheme="majorBidi" w:cstheme="majorBidi"/>
          <w:lang w:eastAsia="ar-SA"/>
        </w:rPr>
        <w:t>is striving</w:t>
      </w:r>
      <w:r w:rsidRPr="00A42D00">
        <w:rPr>
          <w:rFonts w:asciiTheme="majorBidi" w:eastAsia="Times New Roman" w:hAnsiTheme="majorBidi" w:cstheme="majorBidi"/>
          <w:lang w:eastAsia="ar-SA"/>
        </w:rPr>
        <w:t xml:space="preserve"> to </w:t>
      </w:r>
      <w:r w:rsidR="004962EA" w:rsidRPr="00A42D00">
        <w:rPr>
          <w:rFonts w:asciiTheme="majorBidi" w:hAnsiTheme="majorBidi" w:cstheme="majorBidi"/>
        </w:rPr>
        <w:t>implement</w:t>
      </w:r>
      <w:r w:rsidRPr="00A42D00">
        <w:rPr>
          <w:rFonts w:asciiTheme="majorBidi" w:eastAsia="Times New Roman" w:hAnsiTheme="majorBidi" w:cstheme="majorBidi"/>
          <w:lang w:eastAsia="ar-SA"/>
        </w:rPr>
        <w:t xml:space="preserve"> the Palestinian</w:t>
      </w:r>
      <w:r w:rsidR="00A13155" w:rsidRPr="00A42D00">
        <w:rPr>
          <w:rFonts w:asciiTheme="majorBidi" w:hAnsiTheme="majorBidi" w:cstheme="majorBidi"/>
        </w:rPr>
        <w:t xml:space="preserve"> Information and Communication Technology Satellite Account</w:t>
      </w:r>
      <w:r w:rsidRPr="00A42D00">
        <w:rPr>
          <w:rFonts w:asciiTheme="majorBidi" w:eastAsia="Times New Roman" w:hAnsiTheme="majorBidi" w:cstheme="majorBidi"/>
          <w:lang w:eastAsia="ar-SA"/>
        </w:rPr>
        <w:t xml:space="preserve"> </w:t>
      </w:r>
      <w:r w:rsidR="00A13155" w:rsidRPr="00A42D00">
        <w:rPr>
          <w:rFonts w:asciiTheme="majorBidi" w:hAnsiTheme="majorBidi" w:cstheme="majorBidi"/>
        </w:rPr>
        <w:t>(</w:t>
      </w:r>
      <w:r w:rsidR="00134A1E" w:rsidRPr="00A42D00">
        <w:rPr>
          <w:rFonts w:asciiTheme="majorBidi" w:eastAsia="Times New Roman" w:hAnsiTheme="majorBidi" w:cstheme="majorBidi"/>
          <w:lang w:eastAsia="ar-SA"/>
        </w:rPr>
        <w:t>ICT</w:t>
      </w:r>
      <w:r w:rsidR="00A13155" w:rsidRPr="00A42D00">
        <w:rPr>
          <w:rFonts w:asciiTheme="majorBidi" w:hAnsiTheme="majorBidi" w:cstheme="majorBidi"/>
        </w:rPr>
        <w:t>SA)</w:t>
      </w:r>
      <w:r w:rsidRPr="00A42D00">
        <w:rPr>
          <w:rFonts w:asciiTheme="majorBidi" w:eastAsia="Times New Roman" w:hAnsiTheme="majorBidi" w:cstheme="majorBidi"/>
          <w:lang w:eastAsia="ar-SA"/>
        </w:rPr>
        <w:t xml:space="preserve"> to provide accurate and reliable indicators on the status of </w:t>
      </w:r>
      <w:r w:rsidR="00134A1E" w:rsidRPr="00A42D00">
        <w:rPr>
          <w:rFonts w:asciiTheme="majorBidi" w:eastAsia="Times New Roman" w:hAnsiTheme="majorBidi" w:cstheme="majorBidi"/>
          <w:lang w:eastAsia="ar-SA"/>
        </w:rPr>
        <w:t>ICT</w:t>
      </w:r>
      <w:r w:rsidRPr="00A42D00">
        <w:rPr>
          <w:rFonts w:asciiTheme="majorBidi" w:eastAsia="Times New Roman" w:hAnsiTheme="majorBidi" w:cstheme="majorBidi"/>
          <w:lang w:eastAsia="ar-SA"/>
        </w:rPr>
        <w:t xml:space="preserve"> expenditure in Palestine to ensure the credibility of official statistics and </w:t>
      </w:r>
      <w:r w:rsidRPr="00A42D00">
        <w:rPr>
          <w:rFonts w:asciiTheme="majorBidi" w:hAnsiTheme="majorBidi" w:cstheme="majorBidi"/>
        </w:rPr>
        <w:t>to serve decision makers, researchers</w:t>
      </w:r>
      <w:r w:rsidR="0022736A">
        <w:rPr>
          <w:rFonts w:asciiTheme="majorBidi" w:hAnsiTheme="majorBidi" w:cstheme="majorBidi"/>
        </w:rPr>
        <w:t>,</w:t>
      </w:r>
      <w:r w:rsidRPr="00A42D00">
        <w:rPr>
          <w:rFonts w:asciiTheme="majorBidi" w:hAnsiTheme="majorBidi" w:cstheme="majorBidi"/>
        </w:rPr>
        <w:t xml:space="preserve"> and those interested in the development of the information</w:t>
      </w:r>
      <w:r w:rsidR="00A13155" w:rsidRPr="00A42D00">
        <w:rPr>
          <w:rFonts w:asciiTheme="majorBidi" w:hAnsiTheme="majorBidi" w:cstheme="majorBidi"/>
        </w:rPr>
        <w:t xml:space="preserve"> and communication</w:t>
      </w:r>
      <w:r w:rsidRPr="00A42D00">
        <w:rPr>
          <w:rFonts w:asciiTheme="majorBidi" w:hAnsiTheme="majorBidi" w:cstheme="majorBidi"/>
        </w:rPr>
        <w:t xml:space="preserve"> sector.</w:t>
      </w:r>
      <w:r w:rsidR="00813921" w:rsidRPr="00A42D00">
        <w:rPr>
          <w:rFonts w:asciiTheme="majorBidi" w:eastAsia="Times New Roman" w:hAnsiTheme="majorBidi" w:cstheme="majorBidi"/>
          <w:lang w:eastAsia="ar-SA"/>
        </w:rPr>
        <w:t xml:space="preserve">   The absence of recommended guidelines and framework  about </w:t>
      </w:r>
      <w:r w:rsidR="00134A1E" w:rsidRPr="00A42D00">
        <w:rPr>
          <w:rFonts w:asciiTheme="majorBidi" w:eastAsia="Times New Roman" w:hAnsiTheme="majorBidi" w:cstheme="majorBidi"/>
          <w:lang w:eastAsia="ar-SA"/>
        </w:rPr>
        <w:t>ICT</w:t>
      </w:r>
      <w:r w:rsidR="000D1ABC">
        <w:rPr>
          <w:rFonts w:asciiTheme="majorBidi" w:eastAsia="Times New Roman" w:hAnsiTheme="majorBidi" w:cstheme="majorBidi"/>
          <w:lang w:eastAsia="ar-SA"/>
        </w:rPr>
        <w:t>SA consider as a</w:t>
      </w:r>
      <w:r w:rsidR="00813921" w:rsidRPr="00A42D00">
        <w:rPr>
          <w:rFonts w:asciiTheme="majorBidi" w:eastAsia="Times New Roman" w:hAnsiTheme="majorBidi" w:cstheme="majorBidi"/>
          <w:lang w:eastAsia="ar-SA"/>
        </w:rPr>
        <w:t xml:space="preserve"> fundamental obstacle that </w:t>
      </w:r>
      <w:r w:rsidR="001B44A6" w:rsidRPr="00A42D00">
        <w:rPr>
          <w:rFonts w:asciiTheme="majorBidi" w:eastAsia="Times New Roman" w:hAnsiTheme="majorBidi" w:cstheme="majorBidi"/>
          <w:lang w:eastAsia="ar-SA"/>
        </w:rPr>
        <w:t xml:space="preserve">had </w:t>
      </w:r>
      <w:r w:rsidR="00813921" w:rsidRPr="00A42D00">
        <w:rPr>
          <w:rFonts w:asciiTheme="majorBidi" w:eastAsia="Times New Roman" w:hAnsiTheme="majorBidi" w:cstheme="majorBidi"/>
          <w:lang w:eastAsia="ar-SA"/>
        </w:rPr>
        <w:t xml:space="preserve">appeared, so depending on the recommendations </w:t>
      </w:r>
      <w:r w:rsidR="0022736A">
        <w:rPr>
          <w:rFonts w:asciiTheme="majorBidi" w:eastAsia="Times New Roman" w:hAnsiTheme="majorBidi" w:cstheme="majorBidi"/>
          <w:lang w:eastAsia="ar-SA"/>
        </w:rPr>
        <w:t>of</w:t>
      </w:r>
      <w:r w:rsidR="00813921" w:rsidRPr="00A42D00">
        <w:rPr>
          <w:rFonts w:asciiTheme="majorBidi" w:eastAsia="Times New Roman" w:hAnsiTheme="majorBidi" w:cstheme="majorBidi"/>
          <w:lang w:eastAsia="ar-SA"/>
        </w:rPr>
        <w:t xml:space="preserve"> the Organization for Economic Co-operation and Development (OECD</w:t>
      </w:r>
      <w:r w:rsidR="001B44A6" w:rsidRPr="00A42D00">
        <w:rPr>
          <w:rFonts w:asciiTheme="majorBidi" w:eastAsia="Times New Roman" w:hAnsiTheme="majorBidi" w:cstheme="majorBidi"/>
          <w:lang w:eastAsia="ar-SA"/>
        </w:rPr>
        <w:t>),</w:t>
      </w:r>
      <w:r w:rsidR="00813921" w:rsidRPr="00A42D00">
        <w:rPr>
          <w:rFonts w:asciiTheme="majorBidi" w:eastAsia="Times New Roman" w:hAnsiTheme="majorBidi" w:cstheme="majorBidi"/>
          <w:lang w:eastAsia="ar-SA"/>
        </w:rPr>
        <w:t xml:space="preserve"> experiences of</w:t>
      </w:r>
      <w:r w:rsidR="001B44A6" w:rsidRPr="00A42D00">
        <w:rPr>
          <w:rFonts w:asciiTheme="majorBidi" w:eastAsia="Times New Roman" w:hAnsiTheme="majorBidi" w:cstheme="majorBidi"/>
          <w:lang w:eastAsia="ar-SA"/>
        </w:rPr>
        <w:t xml:space="preserve"> other countries and </w:t>
      </w:r>
      <w:r w:rsidR="00813921" w:rsidRPr="00A42D00">
        <w:rPr>
          <w:rFonts w:asciiTheme="majorBidi" w:eastAsia="Times New Roman" w:hAnsiTheme="majorBidi" w:cstheme="majorBidi"/>
          <w:lang w:eastAsia="ar-SA"/>
        </w:rPr>
        <w:t xml:space="preserve"> the System of National Accounts (SNA, 2008)</w:t>
      </w:r>
      <w:r w:rsidR="001B44A6" w:rsidRPr="00A42D00">
        <w:rPr>
          <w:rFonts w:asciiTheme="majorBidi" w:eastAsia="Times New Roman" w:hAnsiTheme="majorBidi" w:cstheme="majorBidi"/>
          <w:lang w:eastAsia="ar-SA"/>
        </w:rPr>
        <w:t xml:space="preserve"> were adopted</w:t>
      </w:r>
      <w:r w:rsidR="00A42D00" w:rsidRPr="00A42D00">
        <w:rPr>
          <w:rFonts w:asciiTheme="majorBidi" w:eastAsia="Times New Roman" w:hAnsiTheme="majorBidi" w:cstheme="majorBidi"/>
          <w:lang w:eastAsia="ar-SA"/>
        </w:rPr>
        <w:t>.</w:t>
      </w:r>
    </w:p>
    <w:p w:rsidR="006E50D6" w:rsidRDefault="006E50D6" w:rsidP="00730477">
      <w:pPr>
        <w:pStyle w:val="ListParagraph"/>
        <w:numPr>
          <w:ilvl w:val="0"/>
          <w:numId w:val="18"/>
        </w:numPr>
        <w:bidi w:val="0"/>
        <w:spacing w:line="240" w:lineRule="auto"/>
        <w:jc w:val="both"/>
        <w:rPr>
          <w:rFonts w:asciiTheme="majorBidi" w:eastAsia="Times New Roman" w:hAnsiTheme="majorBidi" w:cstheme="majorBidi"/>
          <w:b/>
          <w:bCs/>
          <w:lang w:eastAsia="ar-SA"/>
        </w:rPr>
      </w:pPr>
      <w:r w:rsidRPr="0013535B">
        <w:rPr>
          <w:rFonts w:asciiTheme="majorBidi" w:eastAsia="Times New Roman" w:hAnsiTheme="majorBidi" w:cstheme="majorBidi"/>
          <w:b/>
          <w:bCs/>
          <w:lang w:eastAsia="ar-SA"/>
        </w:rPr>
        <w:t xml:space="preserve">Information and Communication Technology </w:t>
      </w:r>
      <w:r w:rsidR="00730477">
        <w:rPr>
          <w:rFonts w:asciiTheme="majorBidi" w:eastAsia="Times New Roman" w:hAnsiTheme="majorBidi" w:cstheme="majorBidi"/>
          <w:b/>
          <w:bCs/>
          <w:lang w:eastAsia="ar-SA"/>
        </w:rPr>
        <w:t>S</w:t>
      </w:r>
      <w:r w:rsidRPr="0013535B">
        <w:rPr>
          <w:rFonts w:asciiTheme="majorBidi" w:eastAsia="Times New Roman" w:hAnsiTheme="majorBidi" w:cstheme="majorBidi"/>
          <w:b/>
          <w:bCs/>
          <w:lang w:eastAsia="ar-SA"/>
        </w:rPr>
        <w:t xml:space="preserve">atellite </w:t>
      </w:r>
      <w:r w:rsidR="00730477">
        <w:rPr>
          <w:rFonts w:asciiTheme="majorBidi" w:eastAsia="Times New Roman" w:hAnsiTheme="majorBidi" w:cstheme="majorBidi"/>
          <w:b/>
          <w:bCs/>
          <w:lang w:eastAsia="ar-SA"/>
        </w:rPr>
        <w:t>A</w:t>
      </w:r>
      <w:r w:rsidRPr="0013535B">
        <w:rPr>
          <w:rFonts w:asciiTheme="majorBidi" w:eastAsia="Times New Roman" w:hAnsiTheme="majorBidi" w:cstheme="majorBidi"/>
          <w:b/>
          <w:bCs/>
          <w:lang w:eastAsia="ar-SA"/>
        </w:rPr>
        <w:t xml:space="preserve">ccount </w:t>
      </w:r>
      <w:r w:rsidR="00730477">
        <w:rPr>
          <w:rFonts w:asciiTheme="majorBidi" w:eastAsia="Times New Roman" w:hAnsiTheme="majorBidi" w:cstheme="majorBidi"/>
          <w:b/>
          <w:bCs/>
          <w:lang w:eastAsia="ar-SA"/>
        </w:rPr>
        <w:t>M</w:t>
      </w:r>
      <w:r w:rsidRPr="0013535B">
        <w:rPr>
          <w:rFonts w:asciiTheme="majorBidi" w:eastAsia="Times New Roman" w:hAnsiTheme="majorBidi" w:cstheme="majorBidi"/>
          <w:b/>
          <w:bCs/>
          <w:lang w:eastAsia="ar-SA"/>
        </w:rPr>
        <w:t xml:space="preserve">ethodology: </w:t>
      </w:r>
    </w:p>
    <w:p w:rsidR="006E50D6" w:rsidRDefault="001707EF" w:rsidP="00E1088E">
      <w:pPr>
        <w:pStyle w:val="ListParagraph"/>
        <w:numPr>
          <w:ilvl w:val="0"/>
          <w:numId w:val="19"/>
        </w:numPr>
        <w:bidi w:val="0"/>
        <w:spacing w:line="240" w:lineRule="auto"/>
        <w:jc w:val="both"/>
        <w:rPr>
          <w:rFonts w:asciiTheme="majorBidi" w:eastAsia="Times New Roman" w:hAnsiTheme="majorBidi" w:cstheme="majorBidi"/>
          <w:lang w:eastAsia="ar-SA"/>
        </w:rPr>
      </w:pPr>
      <w:r w:rsidRPr="0094209A">
        <w:rPr>
          <w:rFonts w:asciiTheme="majorBidi" w:eastAsia="Times New Roman" w:hAnsiTheme="majorBidi" w:cstheme="majorBidi"/>
          <w:lang w:eastAsia="ar-SA"/>
        </w:rPr>
        <w:t xml:space="preserve">The aim of this </w:t>
      </w:r>
      <w:r w:rsidR="0094209A" w:rsidRPr="0094209A">
        <w:rPr>
          <w:rFonts w:asciiTheme="majorBidi" w:eastAsia="Times New Roman" w:hAnsiTheme="majorBidi" w:cstheme="majorBidi"/>
          <w:lang w:eastAsia="ar-SA"/>
        </w:rPr>
        <w:t>exercise</w:t>
      </w:r>
      <w:r w:rsidRPr="0094209A">
        <w:rPr>
          <w:rFonts w:asciiTheme="majorBidi" w:eastAsia="Times New Roman" w:hAnsiTheme="majorBidi" w:cstheme="majorBidi"/>
          <w:lang w:eastAsia="ar-SA"/>
        </w:rPr>
        <w:t xml:space="preserve"> is to </w:t>
      </w:r>
      <w:r w:rsidR="0094209A" w:rsidRPr="0094209A">
        <w:rPr>
          <w:rFonts w:asciiTheme="majorBidi" w:eastAsia="Times New Roman" w:hAnsiTheme="majorBidi" w:cstheme="majorBidi"/>
          <w:lang w:eastAsia="ar-SA"/>
        </w:rPr>
        <w:t xml:space="preserve">isolate </w:t>
      </w:r>
      <w:r w:rsidR="001B7E86">
        <w:rPr>
          <w:rFonts w:asciiTheme="majorBidi" w:eastAsia="Times New Roman" w:hAnsiTheme="majorBidi" w:cstheme="majorBidi"/>
          <w:lang w:eastAsia="ar-SA"/>
        </w:rPr>
        <w:t>ICT activities</w:t>
      </w:r>
      <w:r w:rsidR="001B7E86" w:rsidRPr="0094209A">
        <w:rPr>
          <w:rFonts w:asciiTheme="majorBidi" w:eastAsia="Times New Roman" w:hAnsiTheme="majorBidi" w:cstheme="majorBidi"/>
          <w:lang w:eastAsia="ar-SA"/>
        </w:rPr>
        <w:t xml:space="preserve"> </w:t>
      </w:r>
      <w:r w:rsidR="001B7E86">
        <w:rPr>
          <w:rFonts w:asciiTheme="majorBidi" w:eastAsia="Times New Roman" w:hAnsiTheme="majorBidi" w:cstheme="majorBidi"/>
          <w:lang w:eastAsia="ar-SA"/>
        </w:rPr>
        <w:t xml:space="preserve">in </w:t>
      </w:r>
      <w:r w:rsidR="0094209A" w:rsidRPr="0094209A">
        <w:rPr>
          <w:rFonts w:asciiTheme="majorBidi" w:eastAsia="Times New Roman" w:hAnsiTheme="majorBidi" w:cstheme="majorBidi"/>
          <w:lang w:eastAsia="ar-SA"/>
        </w:rPr>
        <w:t>the supply- use table</w:t>
      </w:r>
      <w:r w:rsidR="0094209A">
        <w:rPr>
          <w:rFonts w:asciiTheme="majorBidi" w:eastAsia="Times New Roman" w:hAnsiTheme="majorBidi" w:cstheme="majorBidi"/>
          <w:lang w:eastAsia="ar-SA"/>
        </w:rPr>
        <w:t xml:space="preserve"> of </w:t>
      </w:r>
      <w:r w:rsidR="002F3E67">
        <w:rPr>
          <w:rFonts w:asciiTheme="majorBidi" w:eastAsia="Times New Roman" w:hAnsiTheme="majorBidi" w:cstheme="majorBidi"/>
          <w:lang w:eastAsia="ar-SA"/>
        </w:rPr>
        <w:t xml:space="preserve">which form the basis of ICTSA.  Total Supply in economy consists of total output and import of goods and services, while total Use in economy consists of intermediate consumption, final consumption expenditure, </w:t>
      </w:r>
      <w:r w:rsidR="002F3E67">
        <w:rPr>
          <w:rFonts w:asciiTheme="majorBidi" w:eastAsia="Times New Roman" w:hAnsiTheme="majorBidi" w:cstheme="majorBidi"/>
          <w:lang w:eastAsia="ar-SA"/>
        </w:rPr>
        <w:lastRenderedPageBreak/>
        <w:t xml:space="preserve">gross fixed capital formation (GFCF) in addition to export of goods and services.   </w:t>
      </w:r>
      <w:r w:rsidR="005E57C4">
        <w:rPr>
          <w:rFonts w:asciiTheme="majorBidi" w:eastAsia="Times New Roman" w:hAnsiTheme="majorBidi" w:cstheme="majorBidi"/>
          <w:lang w:eastAsia="ar-SA"/>
        </w:rPr>
        <w:t>B</w:t>
      </w:r>
      <w:r w:rsidR="0094209A">
        <w:rPr>
          <w:rFonts w:asciiTheme="majorBidi" w:eastAsia="Times New Roman" w:hAnsiTheme="majorBidi" w:cstheme="majorBidi"/>
          <w:lang w:eastAsia="ar-SA"/>
        </w:rPr>
        <w:t xml:space="preserve">ut due to the lack of available data  </w:t>
      </w:r>
      <w:r w:rsidR="00E36860">
        <w:rPr>
          <w:rFonts w:asciiTheme="majorBidi" w:eastAsia="Times New Roman" w:hAnsiTheme="majorBidi" w:cstheme="majorBidi"/>
          <w:lang w:eastAsia="ar-SA"/>
        </w:rPr>
        <w:t xml:space="preserve">about </w:t>
      </w:r>
      <w:r w:rsidR="003A741F">
        <w:rPr>
          <w:rFonts w:asciiTheme="majorBidi" w:eastAsia="Times New Roman" w:hAnsiTheme="majorBidi" w:cstheme="majorBidi"/>
          <w:lang w:eastAsia="ar-SA"/>
        </w:rPr>
        <w:t xml:space="preserve"> </w:t>
      </w:r>
      <w:r w:rsidR="003700AC">
        <w:rPr>
          <w:rFonts w:asciiTheme="majorBidi" w:eastAsia="Times New Roman" w:hAnsiTheme="majorBidi" w:cstheme="majorBidi"/>
          <w:lang w:eastAsia="ar-SA"/>
        </w:rPr>
        <w:t xml:space="preserve">ICT from </w:t>
      </w:r>
      <w:r w:rsidR="003A741F">
        <w:rPr>
          <w:rFonts w:asciiTheme="majorBidi" w:eastAsia="Times New Roman" w:hAnsiTheme="majorBidi" w:cstheme="majorBidi"/>
          <w:lang w:eastAsia="ar-SA"/>
        </w:rPr>
        <w:t>financial, governmental</w:t>
      </w:r>
      <w:r w:rsidR="0022736A">
        <w:rPr>
          <w:rFonts w:asciiTheme="majorBidi" w:eastAsia="Times New Roman" w:hAnsiTheme="majorBidi" w:cstheme="majorBidi"/>
          <w:lang w:eastAsia="ar-SA"/>
        </w:rPr>
        <w:t xml:space="preserve">, and </w:t>
      </w:r>
      <w:r w:rsidR="003A741F">
        <w:rPr>
          <w:rFonts w:asciiTheme="majorBidi" w:eastAsia="Times New Roman" w:hAnsiTheme="majorBidi" w:cstheme="majorBidi"/>
          <w:lang w:eastAsia="ar-SA"/>
        </w:rPr>
        <w:t>Nonprofit Institution Serving Household (N</w:t>
      </w:r>
      <w:r w:rsidR="0094209A">
        <w:rPr>
          <w:rFonts w:asciiTheme="majorBidi" w:eastAsia="Times New Roman" w:hAnsiTheme="majorBidi" w:cstheme="majorBidi"/>
          <w:lang w:eastAsia="ar-SA"/>
        </w:rPr>
        <w:t>PISH</w:t>
      </w:r>
      <w:r w:rsidR="003A741F">
        <w:rPr>
          <w:rFonts w:asciiTheme="majorBidi" w:eastAsia="Times New Roman" w:hAnsiTheme="majorBidi" w:cstheme="majorBidi"/>
          <w:lang w:eastAsia="ar-SA"/>
        </w:rPr>
        <w:t>)</w:t>
      </w:r>
      <w:r w:rsidR="0094209A">
        <w:rPr>
          <w:rFonts w:asciiTheme="majorBidi" w:eastAsia="Times New Roman" w:hAnsiTheme="majorBidi" w:cstheme="majorBidi"/>
          <w:lang w:eastAsia="ar-SA"/>
        </w:rPr>
        <w:t xml:space="preserve">  sectors,  </w:t>
      </w:r>
      <w:r w:rsidR="00134A1E" w:rsidRPr="0094209A">
        <w:rPr>
          <w:rFonts w:asciiTheme="majorBidi" w:eastAsia="Times New Roman" w:hAnsiTheme="majorBidi" w:cstheme="majorBidi"/>
          <w:lang w:eastAsia="ar-SA"/>
        </w:rPr>
        <w:t>ICT</w:t>
      </w:r>
      <w:r w:rsidR="00FA2333" w:rsidRPr="0094209A">
        <w:rPr>
          <w:rFonts w:asciiTheme="majorBidi" w:eastAsia="Times New Roman" w:hAnsiTheme="majorBidi" w:cstheme="majorBidi"/>
          <w:lang w:eastAsia="ar-SA"/>
        </w:rPr>
        <w:t>SA</w:t>
      </w:r>
      <w:r w:rsidR="00581FDB" w:rsidRPr="0094209A">
        <w:rPr>
          <w:rFonts w:asciiTheme="majorBidi" w:eastAsia="Times New Roman" w:hAnsiTheme="majorBidi" w:cstheme="majorBidi"/>
          <w:lang w:eastAsia="ar-SA"/>
        </w:rPr>
        <w:t xml:space="preserve"> </w:t>
      </w:r>
      <w:r w:rsidR="00FA2333" w:rsidRPr="0094209A">
        <w:rPr>
          <w:rFonts w:asciiTheme="majorBidi" w:eastAsia="Times New Roman" w:hAnsiTheme="majorBidi" w:cstheme="majorBidi"/>
          <w:lang w:eastAsia="ar-SA"/>
        </w:rPr>
        <w:t>as a studying experience</w:t>
      </w:r>
      <w:r w:rsidR="00AA18F1" w:rsidRPr="0094209A">
        <w:rPr>
          <w:rFonts w:asciiTheme="majorBidi" w:eastAsia="Times New Roman" w:hAnsiTheme="majorBidi" w:cstheme="majorBidi"/>
          <w:lang w:eastAsia="ar-SA"/>
        </w:rPr>
        <w:t xml:space="preserve"> in PCBS</w:t>
      </w:r>
      <w:r w:rsidR="00406CFD">
        <w:rPr>
          <w:rFonts w:asciiTheme="majorBidi" w:eastAsia="Times New Roman" w:hAnsiTheme="majorBidi" w:cstheme="majorBidi"/>
          <w:lang w:eastAsia="ar-SA"/>
        </w:rPr>
        <w:t xml:space="preserve"> is</w:t>
      </w:r>
      <w:r w:rsidR="00581FDB" w:rsidRPr="0094209A">
        <w:rPr>
          <w:rFonts w:asciiTheme="majorBidi" w:eastAsia="Times New Roman" w:hAnsiTheme="majorBidi" w:cstheme="majorBidi"/>
          <w:lang w:eastAsia="ar-SA"/>
        </w:rPr>
        <w:t xml:space="preserve"> </w:t>
      </w:r>
      <w:r w:rsidR="00E1088E">
        <w:rPr>
          <w:rFonts w:asciiTheme="majorBidi" w:eastAsia="Times New Roman" w:hAnsiTheme="majorBidi" w:cstheme="majorBidi"/>
          <w:lang w:eastAsia="ar-SA"/>
        </w:rPr>
        <w:t xml:space="preserve">implemented only </w:t>
      </w:r>
      <w:r w:rsidR="005812FB">
        <w:rPr>
          <w:rFonts w:asciiTheme="majorBidi" w:eastAsia="Times New Roman" w:hAnsiTheme="majorBidi" w:cstheme="majorBidi"/>
          <w:lang w:eastAsia="ar-SA"/>
        </w:rPr>
        <w:t>for the non-financial</w:t>
      </w:r>
      <w:r w:rsidR="0050239C" w:rsidRPr="0094209A">
        <w:rPr>
          <w:rFonts w:asciiTheme="majorBidi" w:eastAsia="Times New Roman" w:hAnsiTheme="majorBidi" w:cstheme="majorBidi"/>
          <w:lang w:eastAsia="ar-SA"/>
        </w:rPr>
        <w:t xml:space="preserve"> and the household sectors</w:t>
      </w:r>
      <w:r w:rsidR="00406CFD">
        <w:rPr>
          <w:rFonts w:asciiTheme="majorBidi" w:eastAsia="Times New Roman" w:hAnsiTheme="majorBidi" w:cstheme="majorBidi"/>
          <w:lang w:eastAsia="ar-SA"/>
        </w:rPr>
        <w:t xml:space="preserve"> </w:t>
      </w:r>
      <w:r w:rsidR="00581FDB" w:rsidRPr="0094209A">
        <w:rPr>
          <w:rFonts w:asciiTheme="majorBidi" w:eastAsia="Times New Roman" w:hAnsiTheme="majorBidi" w:cstheme="majorBidi"/>
          <w:lang w:eastAsia="ar-SA"/>
        </w:rPr>
        <w:t>for the year 201</w:t>
      </w:r>
      <w:r w:rsidR="00AA18F1" w:rsidRPr="0094209A">
        <w:rPr>
          <w:rFonts w:asciiTheme="majorBidi" w:eastAsia="Times New Roman" w:hAnsiTheme="majorBidi" w:cstheme="majorBidi"/>
          <w:lang w:eastAsia="ar-SA"/>
        </w:rPr>
        <w:t>7</w:t>
      </w:r>
      <w:r w:rsidR="0094209A">
        <w:rPr>
          <w:rFonts w:asciiTheme="majorBidi" w:eastAsia="Times New Roman" w:hAnsiTheme="majorBidi" w:cstheme="majorBidi"/>
          <w:lang w:eastAsia="ar-SA"/>
        </w:rPr>
        <w:t>.</w:t>
      </w:r>
    </w:p>
    <w:p w:rsidR="00D0049F" w:rsidRDefault="00D0049F" w:rsidP="0022736A">
      <w:pPr>
        <w:pStyle w:val="ListParagraph"/>
        <w:numPr>
          <w:ilvl w:val="0"/>
          <w:numId w:val="19"/>
        </w:numPr>
        <w:bidi w:val="0"/>
        <w:spacing w:line="240" w:lineRule="auto"/>
        <w:jc w:val="both"/>
        <w:rPr>
          <w:rFonts w:asciiTheme="majorBidi" w:eastAsia="Times New Roman" w:hAnsiTheme="majorBidi" w:cstheme="majorBidi"/>
          <w:lang w:eastAsia="ar-SA"/>
        </w:rPr>
      </w:pPr>
      <w:r w:rsidRPr="0050239C">
        <w:rPr>
          <w:rFonts w:asciiTheme="majorBidi" w:eastAsia="Times New Roman" w:hAnsiTheme="majorBidi" w:cstheme="majorBidi"/>
          <w:lang w:eastAsia="ar-SA"/>
        </w:rPr>
        <w:t xml:space="preserve">Referring </w:t>
      </w:r>
      <w:r w:rsidR="0022736A">
        <w:rPr>
          <w:rFonts w:asciiTheme="majorBidi" w:eastAsia="Times New Roman" w:hAnsiTheme="majorBidi" w:cstheme="majorBidi"/>
          <w:lang w:eastAsia="ar-SA"/>
        </w:rPr>
        <w:t xml:space="preserve">to </w:t>
      </w:r>
      <w:r w:rsidRPr="0050239C">
        <w:rPr>
          <w:rFonts w:asciiTheme="majorBidi" w:eastAsia="Times New Roman" w:hAnsiTheme="majorBidi" w:cstheme="majorBidi"/>
          <w:lang w:eastAsia="ar-SA"/>
        </w:rPr>
        <w:t>the recommendations, definitions</w:t>
      </w:r>
      <w:r w:rsidR="0022736A">
        <w:rPr>
          <w:rFonts w:asciiTheme="majorBidi" w:eastAsia="Times New Roman" w:hAnsiTheme="majorBidi" w:cstheme="majorBidi"/>
          <w:lang w:eastAsia="ar-SA"/>
        </w:rPr>
        <w:t>,</w:t>
      </w:r>
      <w:r w:rsidRPr="0050239C">
        <w:rPr>
          <w:rFonts w:asciiTheme="majorBidi" w:eastAsia="Times New Roman" w:hAnsiTheme="majorBidi" w:cstheme="majorBidi"/>
          <w:lang w:eastAsia="ar-SA"/>
        </w:rPr>
        <w:t xml:space="preserve"> and classifications </w:t>
      </w:r>
      <w:r w:rsidR="0022736A">
        <w:rPr>
          <w:rFonts w:asciiTheme="majorBidi" w:eastAsia="Times New Roman" w:hAnsiTheme="majorBidi" w:cstheme="majorBidi"/>
          <w:lang w:eastAsia="ar-SA"/>
        </w:rPr>
        <w:t>o</w:t>
      </w:r>
      <w:r w:rsidRPr="0050239C">
        <w:rPr>
          <w:rFonts w:asciiTheme="majorBidi" w:eastAsia="Times New Roman" w:hAnsiTheme="majorBidi" w:cstheme="majorBidi"/>
          <w:lang w:eastAsia="ar-SA"/>
        </w:rPr>
        <w:t>f</w:t>
      </w:r>
      <w:r w:rsidR="0022736A">
        <w:rPr>
          <w:rFonts w:asciiTheme="majorBidi" w:eastAsia="Times New Roman" w:hAnsiTheme="majorBidi" w:cstheme="majorBidi"/>
          <w:lang w:eastAsia="ar-SA"/>
        </w:rPr>
        <w:t xml:space="preserve"> </w:t>
      </w:r>
      <w:r w:rsidRPr="0050239C">
        <w:rPr>
          <w:rFonts w:asciiTheme="majorBidi" w:eastAsia="Times New Roman" w:hAnsiTheme="majorBidi" w:cstheme="majorBidi"/>
          <w:lang w:eastAsia="ar-SA"/>
        </w:rPr>
        <w:t xml:space="preserve">the OECD that form the basis of the recommended ICT products (goods and services) and </w:t>
      </w:r>
      <w:r w:rsidR="00C41456">
        <w:rPr>
          <w:rFonts w:asciiTheme="majorBidi" w:eastAsia="Times New Roman" w:hAnsiTheme="majorBidi" w:cstheme="majorBidi"/>
          <w:lang w:eastAsia="ar-SA"/>
        </w:rPr>
        <w:t>activities, t</w:t>
      </w:r>
      <w:r>
        <w:rPr>
          <w:rFonts w:asciiTheme="majorBidi" w:eastAsia="Times New Roman" w:hAnsiTheme="majorBidi" w:cstheme="majorBidi"/>
          <w:lang w:eastAsia="ar-SA"/>
        </w:rPr>
        <w:t xml:space="preserve">hese products and activities are classified according to Central Product Classification (CPC) and International Standard Industrial Classification of All Economic Activities </w:t>
      </w:r>
      <w:r w:rsidR="00655F4E">
        <w:rPr>
          <w:rFonts w:asciiTheme="majorBidi" w:eastAsia="Times New Roman" w:hAnsiTheme="majorBidi" w:cstheme="majorBidi"/>
          <w:lang w:eastAsia="ar-SA"/>
        </w:rPr>
        <w:t xml:space="preserve">(ISIC, Rev.4).  </w:t>
      </w:r>
      <w:r>
        <w:rPr>
          <w:rFonts w:asciiTheme="majorBidi" w:eastAsia="Times New Roman" w:hAnsiTheme="majorBidi" w:cstheme="majorBidi"/>
          <w:lang w:eastAsia="ar-SA"/>
        </w:rPr>
        <w:t>In PCBS</w:t>
      </w:r>
      <w:r w:rsidR="00196C2D">
        <w:rPr>
          <w:rFonts w:asciiTheme="majorBidi" w:eastAsia="Times New Roman" w:hAnsiTheme="majorBidi" w:cstheme="majorBidi"/>
          <w:lang w:eastAsia="ar-SA"/>
        </w:rPr>
        <w:t xml:space="preserve"> economic surveys, </w:t>
      </w:r>
      <w:r>
        <w:rPr>
          <w:rFonts w:asciiTheme="majorBidi" w:eastAsia="Times New Roman" w:hAnsiTheme="majorBidi" w:cstheme="majorBidi"/>
          <w:lang w:eastAsia="ar-SA"/>
        </w:rPr>
        <w:t>ICT activities and r</w:t>
      </w:r>
      <w:r w:rsidR="00FF7E37">
        <w:rPr>
          <w:rFonts w:asciiTheme="majorBidi" w:eastAsia="Times New Roman" w:hAnsiTheme="majorBidi" w:cstheme="majorBidi"/>
          <w:lang w:eastAsia="ar-SA"/>
        </w:rPr>
        <w:t>elated activities are classified</w:t>
      </w:r>
      <w:r>
        <w:rPr>
          <w:rFonts w:asciiTheme="majorBidi" w:eastAsia="Times New Roman" w:hAnsiTheme="majorBidi" w:cstheme="majorBidi"/>
          <w:lang w:eastAsia="ar-SA"/>
        </w:rPr>
        <w:t xml:space="preserve"> according to the </w:t>
      </w:r>
      <w:r w:rsidR="00CF0F37">
        <w:rPr>
          <w:rFonts w:asciiTheme="majorBidi" w:eastAsia="Times New Roman" w:hAnsiTheme="majorBidi" w:cstheme="majorBidi"/>
          <w:lang w:eastAsia="ar-SA"/>
        </w:rPr>
        <w:t xml:space="preserve">(ISIC, </w:t>
      </w:r>
      <w:r w:rsidRPr="0050239C">
        <w:rPr>
          <w:rFonts w:asciiTheme="majorBidi" w:eastAsia="Times New Roman" w:hAnsiTheme="majorBidi" w:cstheme="majorBidi"/>
          <w:lang w:eastAsia="ar-SA"/>
        </w:rPr>
        <w:t>Rev.4).</w:t>
      </w:r>
    </w:p>
    <w:p w:rsidR="00686113" w:rsidRPr="0072790C" w:rsidRDefault="0072790C" w:rsidP="0072790C">
      <w:pPr>
        <w:pStyle w:val="ListParagraph"/>
        <w:numPr>
          <w:ilvl w:val="0"/>
          <w:numId w:val="19"/>
        </w:numPr>
        <w:bidi w:val="0"/>
        <w:spacing w:line="240" w:lineRule="auto"/>
        <w:jc w:val="both"/>
        <w:rPr>
          <w:rFonts w:asciiTheme="majorBidi" w:eastAsia="Times New Roman" w:hAnsiTheme="majorBidi" w:cstheme="majorBidi"/>
          <w:lang w:eastAsia="ar-SA"/>
        </w:rPr>
      </w:pPr>
      <w:r w:rsidRPr="0013535B">
        <w:rPr>
          <w:rFonts w:asciiTheme="majorBidi" w:eastAsia="Times New Roman" w:hAnsiTheme="majorBidi" w:cstheme="majorBidi"/>
          <w:lang w:eastAsia="ar-SA"/>
        </w:rPr>
        <w:t>Imports and export data are traditionally classified according to Harmonized System (HS</w:t>
      </w:r>
      <w:r>
        <w:rPr>
          <w:rFonts w:asciiTheme="majorBidi" w:eastAsia="Times New Roman" w:hAnsiTheme="majorBidi" w:cstheme="majorBidi"/>
          <w:lang w:eastAsia="ar-SA"/>
        </w:rPr>
        <w:t>).  Data for ICT products had been chosen according to the product classification as described in CPC</w:t>
      </w:r>
      <w:r w:rsidR="004573B9">
        <w:rPr>
          <w:rFonts w:asciiTheme="majorBidi" w:eastAsia="Times New Roman" w:hAnsiTheme="majorBidi" w:cstheme="majorBidi"/>
          <w:lang w:eastAsia="ar-SA"/>
        </w:rPr>
        <w:t>.</w:t>
      </w:r>
    </w:p>
    <w:p w:rsidR="0094209A" w:rsidRDefault="00B1055C" w:rsidP="00B1055C">
      <w:pPr>
        <w:pStyle w:val="ListParagraph"/>
        <w:numPr>
          <w:ilvl w:val="0"/>
          <w:numId w:val="19"/>
        </w:numPr>
        <w:bidi w:val="0"/>
        <w:spacing w:line="240" w:lineRule="auto"/>
        <w:jc w:val="both"/>
        <w:rPr>
          <w:rFonts w:asciiTheme="majorBidi" w:eastAsia="Times New Roman" w:hAnsiTheme="majorBidi" w:cstheme="majorBidi"/>
          <w:lang w:eastAsia="ar-SA"/>
        </w:rPr>
      </w:pPr>
      <w:r>
        <w:rPr>
          <w:rFonts w:asciiTheme="majorBidi" w:eastAsia="Times New Roman" w:hAnsiTheme="majorBidi" w:cstheme="majorBidi"/>
          <w:lang w:eastAsia="ar-SA"/>
        </w:rPr>
        <w:t>Data are a</w:t>
      </w:r>
      <w:r w:rsidR="0094209A">
        <w:rPr>
          <w:rFonts w:asciiTheme="majorBidi" w:eastAsia="Times New Roman" w:hAnsiTheme="majorBidi" w:cstheme="majorBidi"/>
          <w:lang w:eastAsia="ar-SA"/>
        </w:rPr>
        <w:t>vailable for these indicators</w:t>
      </w:r>
      <w:r w:rsidR="0072790C">
        <w:rPr>
          <w:rFonts w:asciiTheme="majorBidi" w:eastAsia="Times New Roman" w:hAnsiTheme="majorBidi" w:cstheme="majorBidi"/>
          <w:lang w:eastAsia="ar-SA"/>
        </w:rPr>
        <w:t xml:space="preserve"> of ICT activities</w:t>
      </w:r>
      <w:r w:rsidR="0094209A">
        <w:rPr>
          <w:rFonts w:asciiTheme="majorBidi" w:eastAsia="Times New Roman" w:hAnsiTheme="majorBidi" w:cstheme="majorBidi"/>
          <w:lang w:eastAsia="ar-SA"/>
        </w:rPr>
        <w:t xml:space="preserve">: </w:t>
      </w:r>
    </w:p>
    <w:p w:rsidR="0094209A" w:rsidRPr="0013535B" w:rsidRDefault="0094209A" w:rsidP="0094209A">
      <w:pPr>
        <w:pStyle w:val="BodyText2"/>
        <w:numPr>
          <w:ilvl w:val="0"/>
          <w:numId w:val="21"/>
        </w:numPr>
        <w:bidi w:val="0"/>
        <w:jc w:val="both"/>
        <w:rPr>
          <w:rFonts w:asciiTheme="majorBidi" w:hAnsiTheme="majorBidi" w:cstheme="majorBidi"/>
          <w:b/>
          <w:bCs/>
          <w:color w:val="000000" w:themeColor="text1"/>
          <w:sz w:val="22"/>
          <w:szCs w:val="22"/>
        </w:rPr>
      </w:pPr>
      <w:r w:rsidRPr="0013535B">
        <w:rPr>
          <w:rFonts w:asciiTheme="majorBidi" w:hAnsiTheme="majorBidi" w:cstheme="majorBidi"/>
          <w:color w:val="000000" w:themeColor="text1"/>
          <w:sz w:val="22"/>
          <w:szCs w:val="22"/>
        </w:rPr>
        <w:t>Output</w:t>
      </w:r>
      <w:r w:rsidRPr="0013535B">
        <w:rPr>
          <w:rFonts w:asciiTheme="majorBidi" w:hAnsiTheme="majorBidi" w:cstheme="majorBidi"/>
          <w:b/>
          <w:bCs/>
          <w:color w:val="000000" w:themeColor="text1"/>
          <w:sz w:val="22"/>
          <w:szCs w:val="22"/>
        </w:rPr>
        <w:t>.</w:t>
      </w:r>
    </w:p>
    <w:p w:rsidR="0094209A" w:rsidRPr="0013535B" w:rsidRDefault="0094209A" w:rsidP="0094209A">
      <w:pPr>
        <w:pStyle w:val="BodyText2"/>
        <w:numPr>
          <w:ilvl w:val="0"/>
          <w:numId w:val="21"/>
        </w:numPr>
        <w:bidi w:val="0"/>
        <w:jc w:val="both"/>
        <w:rPr>
          <w:rFonts w:asciiTheme="majorBidi" w:hAnsiTheme="majorBidi" w:cstheme="majorBidi"/>
          <w:b/>
          <w:bCs/>
          <w:color w:val="000000" w:themeColor="text1"/>
          <w:sz w:val="22"/>
          <w:szCs w:val="22"/>
        </w:rPr>
      </w:pPr>
      <w:r w:rsidRPr="0013535B">
        <w:rPr>
          <w:rFonts w:asciiTheme="majorBidi" w:hAnsiTheme="majorBidi" w:cstheme="majorBidi"/>
          <w:color w:val="000000" w:themeColor="text1"/>
          <w:sz w:val="22"/>
          <w:szCs w:val="22"/>
        </w:rPr>
        <w:t>Intermediate consumption.</w:t>
      </w:r>
    </w:p>
    <w:p w:rsidR="0094209A" w:rsidRPr="0013535B" w:rsidRDefault="0094209A" w:rsidP="0094209A">
      <w:pPr>
        <w:pStyle w:val="BodyText2"/>
        <w:numPr>
          <w:ilvl w:val="0"/>
          <w:numId w:val="21"/>
        </w:numPr>
        <w:bidi w:val="0"/>
        <w:jc w:val="both"/>
        <w:rPr>
          <w:rFonts w:asciiTheme="majorBidi" w:hAnsiTheme="majorBidi" w:cstheme="majorBidi"/>
          <w:color w:val="000000" w:themeColor="text1"/>
          <w:sz w:val="22"/>
          <w:szCs w:val="22"/>
        </w:rPr>
      </w:pPr>
      <w:r w:rsidRPr="0013535B">
        <w:rPr>
          <w:rFonts w:asciiTheme="majorBidi" w:hAnsiTheme="majorBidi" w:cstheme="majorBidi"/>
          <w:color w:val="000000" w:themeColor="text1"/>
          <w:sz w:val="22"/>
          <w:szCs w:val="22"/>
        </w:rPr>
        <w:t>Value</w:t>
      </w:r>
      <w:r w:rsidRPr="0013535B">
        <w:rPr>
          <w:rFonts w:asciiTheme="majorBidi" w:hAnsiTheme="majorBidi" w:cstheme="majorBidi"/>
          <w:b/>
          <w:bCs/>
          <w:color w:val="000000" w:themeColor="text1"/>
          <w:sz w:val="22"/>
          <w:szCs w:val="22"/>
        </w:rPr>
        <w:t xml:space="preserve"> </w:t>
      </w:r>
      <w:r w:rsidRPr="0013535B">
        <w:rPr>
          <w:rFonts w:asciiTheme="majorBidi" w:hAnsiTheme="majorBidi" w:cstheme="majorBidi"/>
          <w:color w:val="000000" w:themeColor="text1"/>
          <w:sz w:val="22"/>
          <w:szCs w:val="22"/>
        </w:rPr>
        <w:t>added.</w:t>
      </w:r>
    </w:p>
    <w:p w:rsidR="0094209A" w:rsidRPr="0013535B" w:rsidRDefault="0094209A" w:rsidP="0094209A">
      <w:pPr>
        <w:pStyle w:val="BodyText2"/>
        <w:numPr>
          <w:ilvl w:val="0"/>
          <w:numId w:val="21"/>
        </w:numPr>
        <w:bidi w:val="0"/>
        <w:jc w:val="both"/>
        <w:rPr>
          <w:rFonts w:asciiTheme="majorBidi" w:hAnsiTheme="majorBidi" w:cstheme="majorBidi"/>
          <w:color w:val="000000" w:themeColor="text1"/>
          <w:sz w:val="22"/>
          <w:szCs w:val="22"/>
        </w:rPr>
      </w:pPr>
      <w:r w:rsidRPr="0013535B">
        <w:rPr>
          <w:rFonts w:asciiTheme="majorBidi" w:hAnsiTheme="majorBidi" w:cstheme="majorBidi"/>
          <w:color w:val="000000" w:themeColor="text1"/>
          <w:sz w:val="22"/>
          <w:szCs w:val="22"/>
        </w:rPr>
        <w:t>Compensation of employees.</w:t>
      </w:r>
    </w:p>
    <w:p w:rsidR="0094209A" w:rsidRPr="0013535B" w:rsidRDefault="0094209A" w:rsidP="0094209A">
      <w:pPr>
        <w:pStyle w:val="BodyText2"/>
        <w:numPr>
          <w:ilvl w:val="0"/>
          <w:numId w:val="21"/>
        </w:numPr>
        <w:bidi w:val="0"/>
        <w:jc w:val="both"/>
        <w:rPr>
          <w:rFonts w:asciiTheme="majorBidi" w:hAnsiTheme="majorBidi" w:cstheme="majorBidi"/>
          <w:color w:val="000000" w:themeColor="text1"/>
          <w:sz w:val="22"/>
          <w:szCs w:val="22"/>
        </w:rPr>
      </w:pPr>
      <w:r w:rsidRPr="0013535B">
        <w:rPr>
          <w:rFonts w:asciiTheme="majorBidi" w:hAnsiTheme="majorBidi" w:cstheme="majorBidi"/>
          <w:color w:val="000000" w:themeColor="text1"/>
          <w:sz w:val="22"/>
          <w:szCs w:val="22"/>
        </w:rPr>
        <w:t>I</w:t>
      </w:r>
      <w:r w:rsidR="00D0049F">
        <w:rPr>
          <w:rFonts w:asciiTheme="majorBidi" w:hAnsiTheme="majorBidi" w:cstheme="majorBidi"/>
          <w:color w:val="000000" w:themeColor="text1"/>
          <w:sz w:val="22"/>
          <w:szCs w:val="22"/>
        </w:rPr>
        <w:t>mports and exports of ICT goods and services.</w:t>
      </w:r>
    </w:p>
    <w:p w:rsidR="0094209A" w:rsidRPr="0013535B" w:rsidRDefault="00654210" w:rsidP="0094209A">
      <w:pPr>
        <w:pStyle w:val="BodyText2"/>
        <w:numPr>
          <w:ilvl w:val="0"/>
          <w:numId w:val="21"/>
        </w:numPr>
        <w:bidi w:val="0"/>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Household final consumption (HFC</w:t>
      </w:r>
      <w:r w:rsidR="009A324A">
        <w:rPr>
          <w:rFonts w:asciiTheme="majorBidi" w:hAnsiTheme="majorBidi" w:cstheme="majorBidi"/>
          <w:color w:val="000000" w:themeColor="text1"/>
          <w:sz w:val="22"/>
          <w:szCs w:val="22"/>
        </w:rPr>
        <w:t>)</w:t>
      </w:r>
      <w:r w:rsidR="0094209A" w:rsidRPr="0013535B">
        <w:rPr>
          <w:rFonts w:asciiTheme="majorBidi" w:hAnsiTheme="majorBidi" w:cstheme="majorBidi"/>
          <w:color w:val="000000" w:themeColor="text1"/>
          <w:sz w:val="22"/>
          <w:szCs w:val="22"/>
        </w:rPr>
        <w:t xml:space="preserve">. </w:t>
      </w:r>
    </w:p>
    <w:p w:rsidR="0094209A" w:rsidRPr="0013535B" w:rsidRDefault="0094209A" w:rsidP="0094209A">
      <w:pPr>
        <w:pStyle w:val="BodyText2"/>
        <w:numPr>
          <w:ilvl w:val="0"/>
          <w:numId w:val="21"/>
        </w:numPr>
        <w:bidi w:val="0"/>
        <w:jc w:val="both"/>
        <w:rPr>
          <w:rFonts w:asciiTheme="majorBidi" w:hAnsiTheme="majorBidi" w:cstheme="majorBidi"/>
          <w:sz w:val="22"/>
          <w:szCs w:val="22"/>
        </w:rPr>
      </w:pPr>
      <w:r w:rsidRPr="0013535B">
        <w:rPr>
          <w:rFonts w:asciiTheme="majorBidi" w:hAnsiTheme="majorBidi" w:cstheme="majorBidi"/>
          <w:sz w:val="22"/>
          <w:szCs w:val="22"/>
        </w:rPr>
        <w:t>Gross fixed capital formation (GFCF)</w:t>
      </w:r>
    </w:p>
    <w:p w:rsidR="000829D6" w:rsidRDefault="00654210" w:rsidP="000829D6">
      <w:pPr>
        <w:pStyle w:val="BodyText2"/>
        <w:numPr>
          <w:ilvl w:val="0"/>
          <w:numId w:val="21"/>
        </w:numPr>
        <w:bidi w:val="0"/>
        <w:jc w:val="both"/>
        <w:rPr>
          <w:rFonts w:asciiTheme="majorBidi" w:hAnsiTheme="majorBidi" w:cstheme="majorBidi"/>
          <w:sz w:val="22"/>
          <w:szCs w:val="22"/>
        </w:rPr>
      </w:pPr>
      <w:r>
        <w:rPr>
          <w:rFonts w:asciiTheme="majorBidi" w:hAnsiTheme="majorBidi" w:cstheme="majorBidi"/>
          <w:sz w:val="22"/>
          <w:szCs w:val="22"/>
        </w:rPr>
        <w:t xml:space="preserve"> Gross Domestic Product (</w:t>
      </w:r>
      <w:r w:rsidR="00D5065D" w:rsidRPr="00074592">
        <w:rPr>
          <w:rFonts w:asciiTheme="majorBidi" w:hAnsiTheme="majorBidi" w:cstheme="majorBidi"/>
          <w:sz w:val="22"/>
          <w:szCs w:val="22"/>
        </w:rPr>
        <w:t>GDP</w:t>
      </w:r>
      <w:r>
        <w:rPr>
          <w:rFonts w:asciiTheme="majorBidi" w:hAnsiTheme="majorBidi" w:cstheme="majorBidi"/>
          <w:sz w:val="22"/>
          <w:szCs w:val="22"/>
        </w:rPr>
        <w:t>)</w:t>
      </w:r>
      <w:r w:rsidR="00D5065D" w:rsidRPr="00074592">
        <w:rPr>
          <w:rFonts w:asciiTheme="majorBidi" w:hAnsiTheme="majorBidi" w:cstheme="majorBidi"/>
          <w:sz w:val="22"/>
          <w:szCs w:val="22"/>
        </w:rPr>
        <w:t xml:space="preserve"> based on production approach (also known as value added approach) is the summation of value added, that is total differences between gross output value of resident producing unit (measured at producer price) and value of intermediate consumption (measured at purchaser’s price)</w:t>
      </w:r>
      <w:r w:rsidR="00D5065D">
        <w:rPr>
          <w:rFonts w:asciiTheme="majorBidi" w:hAnsiTheme="majorBidi" w:cstheme="majorBidi"/>
          <w:sz w:val="22"/>
          <w:szCs w:val="22"/>
        </w:rPr>
        <w:t xml:space="preserve">.  </w:t>
      </w:r>
    </w:p>
    <w:p w:rsidR="0072790C" w:rsidRPr="000829D6" w:rsidRDefault="000829D6" w:rsidP="000829D6">
      <w:pPr>
        <w:pStyle w:val="BodyText2"/>
        <w:bidi w:val="0"/>
        <w:jc w:val="both"/>
        <w:rPr>
          <w:rFonts w:asciiTheme="majorBidi" w:hAnsiTheme="majorBidi" w:cstheme="majorBidi"/>
          <w:sz w:val="22"/>
          <w:szCs w:val="22"/>
        </w:rPr>
      </w:pPr>
      <w:r w:rsidRPr="000829D6">
        <w:rPr>
          <w:rFonts w:asciiTheme="majorBidi" w:hAnsiTheme="majorBidi" w:cstheme="majorBidi"/>
          <w:b/>
          <w:bCs/>
          <w:sz w:val="22"/>
          <w:szCs w:val="22"/>
        </w:rPr>
        <w:t>D</w:t>
      </w:r>
      <w:r w:rsidR="0072790C" w:rsidRPr="000829D6">
        <w:rPr>
          <w:rFonts w:asciiTheme="majorBidi" w:hAnsiTheme="majorBidi" w:cstheme="majorBidi"/>
          <w:b/>
          <w:bCs/>
          <w:sz w:val="22"/>
          <w:szCs w:val="22"/>
        </w:rPr>
        <w:t>ata of these indicators is considered as a strong and reliable for ICT goods, while it’s weak for ICT services due to these reasons:</w:t>
      </w:r>
    </w:p>
    <w:p w:rsidR="00340483" w:rsidRDefault="00340483" w:rsidP="0072790C">
      <w:pPr>
        <w:pStyle w:val="ListParagraph"/>
        <w:numPr>
          <w:ilvl w:val="0"/>
          <w:numId w:val="25"/>
        </w:numPr>
        <w:bidi w:val="0"/>
        <w:spacing w:line="240" w:lineRule="auto"/>
        <w:jc w:val="both"/>
        <w:rPr>
          <w:rFonts w:asciiTheme="majorBidi" w:eastAsia="Times New Roman" w:hAnsiTheme="majorBidi" w:cstheme="majorBidi"/>
          <w:lang w:eastAsia="ar-SA"/>
        </w:rPr>
      </w:pPr>
      <w:r w:rsidRPr="0013535B">
        <w:rPr>
          <w:rFonts w:asciiTheme="majorBidi" w:eastAsia="Times New Roman" w:hAnsiTheme="majorBidi" w:cstheme="majorBidi"/>
          <w:lang w:eastAsia="ar-SA"/>
        </w:rPr>
        <w:t xml:space="preserve">Import and export </w:t>
      </w:r>
      <w:r w:rsidR="00134A1E" w:rsidRPr="0013535B">
        <w:rPr>
          <w:rFonts w:asciiTheme="majorBidi" w:eastAsia="Times New Roman" w:hAnsiTheme="majorBidi" w:cstheme="majorBidi"/>
          <w:lang w:eastAsia="ar-SA"/>
        </w:rPr>
        <w:t>ICT</w:t>
      </w:r>
      <w:r w:rsidR="009C49DD" w:rsidRPr="0013535B">
        <w:rPr>
          <w:rFonts w:asciiTheme="majorBidi" w:eastAsia="Times New Roman" w:hAnsiTheme="majorBidi" w:cstheme="majorBidi"/>
          <w:lang w:eastAsia="ar-SA"/>
        </w:rPr>
        <w:t xml:space="preserve"> services </w:t>
      </w:r>
      <w:r w:rsidRPr="0013535B">
        <w:rPr>
          <w:rFonts w:asciiTheme="majorBidi" w:eastAsia="Times New Roman" w:hAnsiTheme="majorBidi" w:cstheme="majorBidi"/>
          <w:lang w:eastAsia="ar-SA"/>
        </w:rPr>
        <w:t xml:space="preserve">data for </w:t>
      </w:r>
      <w:r w:rsidR="009C49DD" w:rsidRPr="0013535B">
        <w:rPr>
          <w:rFonts w:asciiTheme="majorBidi" w:eastAsia="Times New Roman" w:hAnsiTheme="majorBidi" w:cstheme="majorBidi"/>
          <w:lang w:eastAsia="ar-SA"/>
        </w:rPr>
        <w:t>the year 2017are preliminary estimates</w:t>
      </w:r>
      <w:r w:rsidR="00C41456" w:rsidRPr="00C41456">
        <w:rPr>
          <w:rFonts w:asciiTheme="majorBidi" w:eastAsia="Times New Roman" w:hAnsiTheme="majorBidi" w:cstheme="majorBidi"/>
          <w:lang w:eastAsia="ar-SA"/>
        </w:rPr>
        <w:t xml:space="preserve"> </w:t>
      </w:r>
      <w:r w:rsidR="00C41456">
        <w:rPr>
          <w:rFonts w:asciiTheme="majorBidi" w:eastAsia="Times New Roman" w:hAnsiTheme="majorBidi" w:cstheme="majorBidi"/>
          <w:lang w:eastAsia="ar-SA"/>
        </w:rPr>
        <w:t>taken from balance of payment.</w:t>
      </w:r>
    </w:p>
    <w:p w:rsidR="0072790C" w:rsidRDefault="0072790C" w:rsidP="00C41456">
      <w:pPr>
        <w:pStyle w:val="ListParagraph"/>
        <w:numPr>
          <w:ilvl w:val="0"/>
          <w:numId w:val="25"/>
        </w:numPr>
        <w:bidi w:val="0"/>
        <w:spacing w:line="240" w:lineRule="auto"/>
        <w:jc w:val="both"/>
        <w:rPr>
          <w:rFonts w:asciiTheme="majorBidi" w:eastAsia="Times New Roman" w:hAnsiTheme="majorBidi" w:cstheme="majorBidi"/>
          <w:lang w:eastAsia="ar-SA"/>
        </w:rPr>
      </w:pPr>
      <w:r>
        <w:rPr>
          <w:rFonts w:asciiTheme="majorBidi" w:eastAsia="Times New Roman" w:hAnsiTheme="majorBidi" w:cstheme="majorBidi"/>
          <w:lang w:eastAsia="ar-SA"/>
        </w:rPr>
        <w:t>Data for household expenditure for ICT goods and services in</w:t>
      </w:r>
      <w:r w:rsidR="003A2617">
        <w:rPr>
          <w:rFonts w:asciiTheme="majorBidi" w:eastAsia="Times New Roman" w:hAnsiTheme="majorBidi" w:cstheme="majorBidi"/>
          <w:lang w:eastAsia="ar-SA"/>
        </w:rPr>
        <w:t xml:space="preserve"> Palestine are preliminary data</w:t>
      </w:r>
      <w:r w:rsidR="00C41456">
        <w:rPr>
          <w:rFonts w:asciiTheme="majorBidi" w:eastAsia="Times New Roman" w:hAnsiTheme="majorBidi" w:cstheme="majorBidi"/>
          <w:lang w:eastAsia="ar-SA"/>
        </w:rPr>
        <w:t>.</w:t>
      </w:r>
      <w:r w:rsidR="003A2617">
        <w:rPr>
          <w:rFonts w:asciiTheme="majorBidi" w:eastAsia="Times New Roman" w:hAnsiTheme="majorBidi" w:cstheme="majorBidi"/>
          <w:lang w:eastAsia="ar-SA"/>
        </w:rPr>
        <w:t xml:space="preserve"> </w:t>
      </w:r>
    </w:p>
    <w:p w:rsidR="000829D6" w:rsidRDefault="000A3E7A" w:rsidP="000829D6">
      <w:pPr>
        <w:pStyle w:val="ListParagraph"/>
        <w:numPr>
          <w:ilvl w:val="0"/>
          <w:numId w:val="25"/>
        </w:numPr>
        <w:bidi w:val="0"/>
        <w:spacing w:line="240" w:lineRule="auto"/>
        <w:jc w:val="both"/>
        <w:rPr>
          <w:rFonts w:asciiTheme="majorBidi" w:eastAsia="Times New Roman" w:hAnsiTheme="majorBidi" w:cstheme="majorBidi"/>
          <w:lang w:eastAsia="ar-SA"/>
        </w:rPr>
      </w:pPr>
      <w:r>
        <w:rPr>
          <w:rFonts w:asciiTheme="majorBidi" w:eastAsia="Times New Roman" w:hAnsiTheme="majorBidi" w:cstheme="majorBidi"/>
          <w:lang w:eastAsia="ar-SA"/>
        </w:rPr>
        <w:t xml:space="preserve">Data of informal ICT sector are </w:t>
      </w:r>
      <w:r w:rsidR="00A46547">
        <w:rPr>
          <w:rFonts w:asciiTheme="majorBidi" w:eastAsia="Times New Roman" w:hAnsiTheme="majorBidi" w:cstheme="majorBidi"/>
          <w:lang w:eastAsia="ar-SA"/>
        </w:rPr>
        <w:t xml:space="preserve"> </w:t>
      </w:r>
      <w:r>
        <w:rPr>
          <w:rFonts w:asciiTheme="majorBidi" w:eastAsia="Times New Roman" w:hAnsiTheme="majorBidi" w:cstheme="majorBidi"/>
          <w:lang w:eastAsia="ar-SA"/>
        </w:rPr>
        <w:t>not covered in PCBS surveys.</w:t>
      </w:r>
    </w:p>
    <w:p w:rsidR="004615B2" w:rsidRDefault="004615B2" w:rsidP="004615B2">
      <w:pPr>
        <w:pStyle w:val="ListParagraph"/>
        <w:bidi w:val="0"/>
        <w:spacing w:line="240" w:lineRule="auto"/>
        <w:ind w:left="1080"/>
        <w:jc w:val="both"/>
        <w:rPr>
          <w:rFonts w:asciiTheme="majorBidi" w:eastAsia="Times New Roman" w:hAnsiTheme="majorBidi" w:cstheme="majorBidi"/>
          <w:lang w:eastAsia="ar-SA"/>
        </w:rPr>
      </w:pPr>
    </w:p>
    <w:p w:rsidR="001C646A" w:rsidRPr="0013535B" w:rsidRDefault="00134A1E" w:rsidP="00AE25C9">
      <w:pPr>
        <w:pStyle w:val="ListParagraph"/>
        <w:numPr>
          <w:ilvl w:val="0"/>
          <w:numId w:val="19"/>
        </w:numPr>
        <w:bidi w:val="0"/>
        <w:spacing w:line="240" w:lineRule="auto"/>
        <w:jc w:val="both"/>
        <w:rPr>
          <w:rFonts w:asciiTheme="majorBidi" w:eastAsia="Times New Roman" w:hAnsiTheme="majorBidi" w:cstheme="majorBidi"/>
          <w:lang w:eastAsia="ar-SA"/>
        </w:rPr>
      </w:pPr>
      <w:r w:rsidRPr="0013535B">
        <w:rPr>
          <w:rFonts w:asciiTheme="majorBidi" w:eastAsia="Times New Roman" w:hAnsiTheme="majorBidi" w:cstheme="majorBidi"/>
          <w:lang w:eastAsia="ar-SA"/>
        </w:rPr>
        <w:t>ICT</w:t>
      </w:r>
      <w:r w:rsidR="00E93E79" w:rsidRPr="0013535B">
        <w:rPr>
          <w:rFonts w:asciiTheme="majorBidi" w:eastAsia="Times New Roman" w:hAnsiTheme="majorBidi" w:cstheme="majorBidi"/>
          <w:lang w:eastAsia="ar-SA"/>
        </w:rPr>
        <w:t xml:space="preserve"> specific </w:t>
      </w:r>
      <w:r w:rsidR="00580BD4" w:rsidRPr="0013535B">
        <w:rPr>
          <w:rFonts w:asciiTheme="majorBidi" w:eastAsia="Times New Roman" w:hAnsiTheme="majorBidi" w:cstheme="majorBidi"/>
          <w:lang w:eastAsia="ar-SA"/>
        </w:rPr>
        <w:t>industries</w:t>
      </w:r>
      <w:r w:rsidR="00E93E79" w:rsidRPr="0013535B">
        <w:rPr>
          <w:rFonts w:asciiTheme="majorBidi" w:eastAsia="Times New Roman" w:hAnsiTheme="majorBidi" w:cstheme="majorBidi"/>
          <w:lang w:eastAsia="ar-SA"/>
        </w:rPr>
        <w:t xml:space="preserve"> </w:t>
      </w:r>
      <w:r w:rsidR="005012E2" w:rsidRPr="0013535B">
        <w:rPr>
          <w:rFonts w:asciiTheme="majorBidi" w:eastAsia="Times New Roman" w:hAnsiTheme="majorBidi" w:cstheme="majorBidi"/>
          <w:lang w:eastAsia="ar-SA"/>
        </w:rPr>
        <w:t>with available ISIC Rev.4 code</w:t>
      </w:r>
      <w:r w:rsidR="00406CFD">
        <w:rPr>
          <w:rFonts w:asciiTheme="majorBidi" w:eastAsia="Times New Roman" w:hAnsiTheme="majorBidi" w:cstheme="majorBidi"/>
          <w:lang w:eastAsia="ar-SA"/>
        </w:rPr>
        <w:t>s</w:t>
      </w:r>
      <w:r w:rsidR="005012E2" w:rsidRPr="0013535B">
        <w:rPr>
          <w:rFonts w:asciiTheme="majorBidi" w:eastAsia="Times New Roman" w:hAnsiTheme="majorBidi" w:cstheme="majorBidi"/>
          <w:lang w:eastAsia="ar-SA"/>
        </w:rPr>
        <w:t xml:space="preserve"> are as</w:t>
      </w:r>
      <w:r w:rsidR="00AE25C9" w:rsidRPr="0013535B">
        <w:rPr>
          <w:rFonts w:asciiTheme="majorBidi" w:eastAsia="Times New Roman" w:hAnsiTheme="majorBidi" w:cstheme="majorBidi"/>
          <w:lang w:eastAsia="ar-SA"/>
        </w:rPr>
        <w:t xml:space="preserve"> in the table below: </w:t>
      </w:r>
      <w:r w:rsidR="005012E2" w:rsidRPr="0013535B">
        <w:rPr>
          <w:rFonts w:asciiTheme="majorBidi" w:eastAsia="Times New Roman" w:hAnsiTheme="majorBidi" w:cstheme="majorBidi"/>
          <w:lang w:eastAsia="ar-SA"/>
        </w:rPr>
        <w:t xml:space="preserve"> </w:t>
      </w:r>
    </w:p>
    <w:tbl>
      <w:tblPr>
        <w:tblStyle w:val="TableGrid"/>
        <w:tblpPr w:leftFromText="180" w:rightFromText="180" w:vertAnchor="text" w:horzAnchor="margin" w:tblpY="476"/>
        <w:tblW w:w="8115" w:type="dxa"/>
        <w:tblLook w:val="04A0"/>
      </w:tblPr>
      <w:tblGrid>
        <w:gridCol w:w="3494"/>
        <w:gridCol w:w="4621"/>
      </w:tblGrid>
      <w:tr w:rsidR="00BF6A06" w:rsidRPr="0013535B" w:rsidTr="00BF6A06">
        <w:tc>
          <w:tcPr>
            <w:tcW w:w="3494" w:type="dxa"/>
          </w:tcPr>
          <w:p w:rsidR="00BF6A06" w:rsidRPr="0013535B" w:rsidRDefault="00134A1E" w:rsidP="00345EA5">
            <w:pPr>
              <w:jc w:val="both"/>
              <w:rPr>
                <w:rFonts w:asciiTheme="majorBidi" w:eastAsia="Times New Roman" w:hAnsiTheme="majorBidi" w:cstheme="majorBidi"/>
                <w:b/>
                <w:bCs/>
                <w:lang w:eastAsia="ar-SA"/>
              </w:rPr>
            </w:pPr>
            <w:r w:rsidRPr="0013535B">
              <w:rPr>
                <w:rFonts w:asciiTheme="majorBidi" w:eastAsia="Times New Roman" w:hAnsiTheme="majorBidi" w:cstheme="majorBidi"/>
                <w:b/>
                <w:bCs/>
                <w:lang w:eastAsia="ar-SA"/>
              </w:rPr>
              <w:t>ICT</w:t>
            </w:r>
            <w:r w:rsidR="00AE25C9" w:rsidRPr="0013535B">
              <w:rPr>
                <w:rFonts w:asciiTheme="majorBidi" w:eastAsia="Times New Roman" w:hAnsiTheme="majorBidi" w:cstheme="majorBidi"/>
                <w:b/>
                <w:bCs/>
                <w:lang w:eastAsia="ar-SA"/>
              </w:rPr>
              <w:t xml:space="preserve"> Specific</w:t>
            </w:r>
            <w:r w:rsidR="00BF6A06" w:rsidRPr="0013535B">
              <w:rPr>
                <w:rFonts w:asciiTheme="majorBidi" w:eastAsia="Times New Roman" w:hAnsiTheme="majorBidi" w:cstheme="majorBidi"/>
                <w:b/>
                <w:bCs/>
                <w:lang w:eastAsia="ar-SA"/>
              </w:rPr>
              <w:t xml:space="preserve"> Activity</w:t>
            </w:r>
          </w:p>
        </w:tc>
        <w:tc>
          <w:tcPr>
            <w:tcW w:w="4621" w:type="dxa"/>
          </w:tcPr>
          <w:p w:rsidR="00BF6A06" w:rsidRPr="0013535B" w:rsidRDefault="00BF6A06" w:rsidP="00345EA5">
            <w:pPr>
              <w:jc w:val="both"/>
              <w:rPr>
                <w:rFonts w:asciiTheme="majorBidi" w:eastAsia="Times New Roman" w:hAnsiTheme="majorBidi" w:cstheme="majorBidi"/>
                <w:b/>
                <w:bCs/>
                <w:lang w:eastAsia="ar-SA"/>
              </w:rPr>
            </w:pPr>
            <w:r w:rsidRPr="0013535B">
              <w:rPr>
                <w:rFonts w:asciiTheme="majorBidi" w:eastAsia="Times New Roman" w:hAnsiTheme="majorBidi" w:cstheme="majorBidi"/>
                <w:b/>
                <w:bCs/>
                <w:lang w:eastAsia="ar-SA"/>
              </w:rPr>
              <w:t xml:space="preserve">ISIC Rev.4 </w:t>
            </w:r>
          </w:p>
        </w:tc>
      </w:tr>
      <w:tr w:rsidR="00BF6A06" w:rsidRPr="0013535B" w:rsidTr="00BF6A06">
        <w:tc>
          <w:tcPr>
            <w:tcW w:w="3494" w:type="dxa"/>
          </w:tcPr>
          <w:p w:rsidR="00BF6A06" w:rsidRPr="0013535B" w:rsidRDefault="00BF6A06" w:rsidP="00345EA5">
            <w:pPr>
              <w:jc w:val="both"/>
              <w:rPr>
                <w:rFonts w:asciiTheme="majorBidi" w:eastAsia="Times New Roman" w:hAnsiTheme="majorBidi" w:cstheme="majorBidi"/>
                <w:lang w:eastAsia="ar-SA"/>
              </w:rPr>
            </w:pPr>
            <w:r w:rsidRPr="0013535B">
              <w:rPr>
                <w:rFonts w:asciiTheme="majorBidi" w:eastAsia="Times New Roman" w:hAnsiTheme="majorBidi" w:cstheme="majorBidi"/>
                <w:lang w:eastAsia="ar-SA"/>
              </w:rPr>
              <w:t xml:space="preserve"> </w:t>
            </w:r>
            <w:r w:rsidR="00134A1E" w:rsidRPr="0013535B">
              <w:rPr>
                <w:rFonts w:asciiTheme="majorBidi" w:eastAsia="Times New Roman" w:hAnsiTheme="majorBidi" w:cstheme="majorBidi"/>
                <w:lang w:eastAsia="ar-SA"/>
              </w:rPr>
              <w:t>ICT</w:t>
            </w:r>
            <w:r w:rsidRPr="0013535B">
              <w:rPr>
                <w:rFonts w:asciiTheme="majorBidi" w:eastAsia="Times New Roman" w:hAnsiTheme="majorBidi" w:cstheme="majorBidi"/>
                <w:lang w:eastAsia="ar-SA"/>
              </w:rPr>
              <w:t xml:space="preserve"> manufacturing </w:t>
            </w:r>
          </w:p>
        </w:tc>
        <w:tc>
          <w:tcPr>
            <w:tcW w:w="4621" w:type="dxa"/>
          </w:tcPr>
          <w:p w:rsidR="00BF6A06" w:rsidRPr="0013535B" w:rsidRDefault="00BF6A06" w:rsidP="00345EA5">
            <w:pPr>
              <w:jc w:val="both"/>
              <w:rPr>
                <w:rFonts w:asciiTheme="majorBidi" w:eastAsia="Times New Roman" w:hAnsiTheme="majorBidi" w:cstheme="majorBidi"/>
                <w:lang w:eastAsia="ar-SA"/>
              </w:rPr>
            </w:pPr>
            <w:r w:rsidRPr="0013535B">
              <w:rPr>
                <w:rFonts w:asciiTheme="majorBidi" w:eastAsia="Times New Roman" w:hAnsiTheme="majorBidi" w:cstheme="majorBidi"/>
                <w:lang w:eastAsia="ar-SA"/>
              </w:rPr>
              <w:t>2610</w:t>
            </w:r>
          </w:p>
        </w:tc>
      </w:tr>
      <w:tr w:rsidR="00BF6A06" w:rsidRPr="0013535B" w:rsidTr="00BF6A06">
        <w:tc>
          <w:tcPr>
            <w:tcW w:w="3494" w:type="dxa"/>
          </w:tcPr>
          <w:p w:rsidR="00BF6A06" w:rsidRPr="0013535B" w:rsidRDefault="00BF6A06" w:rsidP="00345EA5">
            <w:pPr>
              <w:jc w:val="both"/>
              <w:rPr>
                <w:rFonts w:asciiTheme="majorBidi" w:eastAsia="Times New Roman" w:hAnsiTheme="majorBidi" w:cstheme="majorBidi"/>
                <w:lang w:eastAsia="ar-SA"/>
              </w:rPr>
            </w:pPr>
            <w:r w:rsidRPr="0013535B">
              <w:rPr>
                <w:rFonts w:asciiTheme="majorBidi" w:eastAsia="Times New Roman" w:hAnsiTheme="majorBidi" w:cstheme="majorBidi"/>
                <w:lang w:eastAsia="ar-SA"/>
              </w:rPr>
              <w:t>Telecommunication services</w:t>
            </w:r>
          </w:p>
        </w:tc>
        <w:tc>
          <w:tcPr>
            <w:tcW w:w="4621" w:type="dxa"/>
          </w:tcPr>
          <w:p w:rsidR="00BF6A06" w:rsidRPr="0013535B" w:rsidRDefault="00BF6A06" w:rsidP="00345EA5">
            <w:pPr>
              <w:jc w:val="both"/>
              <w:rPr>
                <w:rFonts w:asciiTheme="majorBidi" w:eastAsia="Times New Roman" w:hAnsiTheme="majorBidi" w:cstheme="majorBidi"/>
                <w:lang w:eastAsia="ar-SA"/>
              </w:rPr>
            </w:pPr>
            <w:r w:rsidRPr="0013535B">
              <w:rPr>
                <w:rFonts w:asciiTheme="majorBidi" w:eastAsia="Times New Roman" w:hAnsiTheme="majorBidi" w:cstheme="majorBidi"/>
                <w:rtl/>
                <w:lang w:eastAsia="ar-SA"/>
              </w:rPr>
              <w:t>6110,6120,6130,6190</w:t>
            </w:r>
          </w:p>
        </w:tc>
      </w:tr>
      <w:tr w:rsidR="00BF6A06" w:rsidRPr="0013535B" w:rsidTr="00BF6A06">
        <w:tc>
          <w:tcPr>
            <w:tcW w:w="3494" w:type="dxa"/>
          </w:tcPr>
          <w:p w:rsidR="00BF6A06" w:rsidRPr="0013535B" w:rsidRDefault="00BF6A06" w:rsidP="00345EA5">
            <w:pPr>
              <w:jc w:val="both"/>
              <w:rPr>
                <w:rFonts w:asciiTheme="majorBidi" w:eastAsia="Times New Roman" w:hAnsiTheme="majorBidi" w:cstheme="majorBidi"/>
                <w:lang w:eastAsia="ar-SA"/>
              </w:rPr>
            </w:pPr>
            <w:r w:rsidRPr="0013535B">
              <w:rPr>
                <w:rFonts w:asciiTheme="majorBidi" w:eastAsia="Times New Roman" w:hAnsiTheme="majorBidi" w:cstheme="majorBidi"/>
                <w:lang w:eastAsia="ar-SA"/>
              </w:rPr>
              <w:t xml:space="preserve">Computer programming, consultancy and related activities </w:t>
            </w:r>
          </w:p>
        </w:tc>
        <w:tc>
          <w:tcPr>
            <w:tcW w:w="4621" w:type="dxa"/>
          </w:tcPr>
          <w:p w:rsidR="00BF6A06" w:rsidRPr="0013535B" w:rsidRDefault="00BF6A06" w:rsidP="00345EA5">
            <w:pPr>
              <w:jc w:val="both"/>
              <w:rPr>
                <w:rFonts w:asciiTheme="majorBidi" w:eastAsia="Times New Roman" w:hAnsiTheme="majorBidi" w:cstheme="majorBidi"/>
                <w:lang w:eastAsia="ar-SA"/>
              </w:rPr>
            </w:pPr>
            <w:r w:rsidRPr="0013535B">
              <w:rPr>
                <w:rFonts w:asciiTheme="majorBidi" w:eastAsia="Times New Roman" w:hAnsiTheme="majorBidi" w:cstheme="majorBidi"/>
                <w:lang w:eastAsia="ar-SA"/>
              </w:rPr>
              <w:t>6201,6202,6209</w:t>
            </w:r>
          </w:p>
        </w:tc>
      </w:tr>
      <w:tr w:rsidR="00BF6A06" w:rsidRPr="0013535B" w:rsidTr="00BF6A06">
        <w:tc>
          <w:tcPr>
            <w:tcW w:w="3494" w:type="dxa"/>
          </w:tcPr>
          <w:p w:rsidR="00BF6A06" w:rsidRPr="0013535B" w:rsidRDefault="00BF6A06" w:rsidP="00345EA5">
            <w:pPr>
              <w:jc w:val="both"/>
              <w:rPr>
                <w:rFonts w:asciiTheme="majorBidi" w:eastAsia="Times New Roman" w:hAnsiTheme="majorBidi" w:cstheme="majorBidi"/>
                <w:lang w:eastAsia="ar-SA"/>
              </w:rPr>
            </w:pPr>
            <w:r w:rsidRPr="0013535B">
              <w:rPr>
                <w:rFonts w:asciiTheme="majorBidi" w:eastAsia="Times New Roman" w:hAnsiTheme="majorBidi" w:cstheme="majorBidi"/>
                <w:lang w:eastAsia="ar-SA"/>
              </w:rPr>
              <w:t>Data processing, hosting and related activities, web portals</w:t>
            </w:r>
          </w:p>
        </w:tc>
        <w:tc>
          <w:tcPr>
            <w:tcW w:w="4621" w:type="dxa"/>
          </w:tcPr>
          <w:p w:rsidR="00BF6A06" w:rsidRPr="0013535B" w:rsidRDefault="00BF6A06" w:rsidP="00345EA5">
            <w:pPr>
              <w:jc w:val="both"/>
              <w:rPr>
                <w:rFonts w:asciiTheme="majorBidi" w:eastAsia="Times New Roman" w:hAnsiTheme="majorBidi" w:cstheme="majorBidi"/>
                <w:lang w:eastAsia="ar-SA"/>
              </w:rPr>
            </w:pPr>
            <w:r w:rsidRPr="0013535B">
              <w:rPr>
                <w:rFonts w:asciiTheme="majorBidi" w:eastAsia="Times New Roman" w:hAnsiTheme="majorBidi" w:cstheme="majorBidi"/>
                <w:lang w:eastAsia="ar-SA"/>
              </w:rPr>
              <w:t>6311,6312</w:t>
            </w:r>
          </w:p>
        </w:tc>
      </w:tr>
      <w:tr w:rsidR="00727126" w:rsidRPr="0013535B" w:rsidTr="00BF6A06">
        <w:tc>
          <w:tcPr>
            <w:tcW w:w="3494" w:type="dxa"/>
          </w:tcPr>
          <w:p w:rsidR="00727126" w:rsidRPr="0013535B" w:rsidRDefault="00727126" w:rsidP="00727126">
            <w:pPr>
              <w:jc w:val="both"/>
              <w:rPr>
                <w:rFonts w:asciiTheme="majorBidi" w:eastAsia="Times New Roman" w:hAnsiTheme="majorBidi" w:cstheme="majorBidi"/>
                <w:lang w:eastAsia="ar-SA"/>
              </w:rPr>
            </w:pPr>
            <w:r w:rsidRPr="0013535B">
              <w:rPr>
                <w:rFonts w:asciiTheme="majorBidi" w:eastAsia="Times New Roman" w:hAnsiTheme="majorBidi" w:cstheme="majorBidi"/>
                <w:lang w:eastAsia="ar-SA"/>
              </w:rPr>
              <w:t>Content and media</w:t>
            </w:r>
          </w:p>
        </w:tc>
        <w:tc>
          <w:tcPr>
            <w:tcW w:w="4621" w:type="dxa"/>
          </w:tcPr>
          <w:p w:rsidR="00727126" w:rsidRPr="0013535B" w:rsidRDefault="00727126" w:rsidP="00727126">
            <w:pPr>
              <w:jc w:val="both"/>
              <w:rPr>
                <w:rFonts w:asciiTheme="majorBidi" w:eastAsia="Times New Roman" w:hAnsiTheme="majorBidi" w:cstheme="majorBidi"/>
                <w:lang w:eastAsia="ar-SA"/>
              </w:rPr>
            </w:pPr>
            <w:r w:rsidRPr="0013535B">
              <w:rPr>
                <w:rFonts w:asciiTheme="majorBidi" w:eastAsia="Times New Roman" w:hAnsiTheme="majorBidi" w:cstheme="majorBidi"/>
                <w:lang w:eastAsia="ar-SA"/>
              </w:rPr>
              <w:t>5811,5812,5813,5819,5911,5912,5920,6010,6020</w:t>
            </w:r>
          </w:p>
        </w:tc>
      </w:tr>
      <w:tr w:rsidR="00727126" w:rsidRPr="0013535B" w:rsidTr="00BF6A06">
        <w:tc>
          <w:tcPr>
            <w:tcW w:w="3494" w:type="dxa"/>
          </w:tcPr>
          <w:p w:rsidR="00727126" w:rsidRPr="0013535B" w:rsidRDefault="00727126" w:rsidP="00727126">
            <w:pPr>
              <w:jc w:val="both"/>
              <w:rPr>
                <w:rFonts w:asciiTheme="majorBidi" w:eastAsia="Times New Roman" w:hAnsiTheme="majorBidi" w:cstheme="majorBidi"/>
                <w:b/>
                <w:bCs/>
                <w:lang w:eastAsia="ar-SA"/>
              </w:rPr>
            </w:pPr>
            <w:r w:rsidRPr="0013535B">
              <w:rPr>
                <w:rFonts w:asciiTheme="majorBidi" w:eastAsia="Times New Roman" w:hAnsiTheme="majorBidi" w:cstheme="majorBidi"/>
                <w:b/>
                <w:bCs/>
                <w:lang w:eastAsia="ar-SA"/>
              </w:rPr>
              <w:t>ICT Related Activity</w:t>
            </w:r>
          </w:p>
        </w:tc>
        <w:tc>
          <w:tcPr>
            <w:tcW w:w="4621" w:type="dxa"/>
          </w:tcPr>
          <w:p w:rsidR="00727126" w:rsidRPr="0013535B" w:rsidRDefault="00727126" w:rsidP="00727126">
            <w:pPr>
              <w:jc w:val="both"/>
              <w:rPr>
                <w:rFonts w:asciiTheme="majorBidi" w:eastAsia="Times New Roman" w:hAnsiTheme="majorBidi" w:cstheme="majorBidi"/>
                <w:lang w:eastAsia="ar-SA"/>
              </w:rPr>
            </w:pPr>
          </w:p>
        </w:tc>
      </w:tr>
      <w:tr w:rsidR="00727126" w:rsidRPr="0013535B" w:rsidTr="00BF6A06">
        <w:tc>
          <w:tcPr>
            <w:tcW w:w="3494" w:type="dxa"/>
          </w:tcPr>
          <w:p w:rsidR="00727126" w:rsidRPr="0013535B" w:rsidRDefault="00727126" w:rsidP="00727126">
            <w:pPr>
              <w:jc w:val="both"/>
              <w:rPr>
                <w:rFonts w:asciiTheme="majorBidi" w:eastAsia="Times New Roman" w:hAnsiTheme="majorBidi" w:cstheme="majorBidi"/>
                <w:lang w:eastAsia="ar-SA"/>
              </w:rPr>
            </w:pPr>
            <w:r w:rsidRPr="0013535B">
              <w:rPr>
                <w:rFonts w:asciiTheme="majorBidi" w:eastAsia="Times New Roman" w:hAnsiTheme="majorBidi" w:cstheme="majorBidi"/>
                <w:lang w:eastAsia="ar-SA"/>
              </w:rPr>
              <w:t>ICT trade (Whole sale and retail)</w:t>
            </w:r>
          </w:p>
        </w:tc>
        <w:tc>
          <w:tcPr>
            <w:tcW w:w="4621" w:type="dxa"/>
          </w:tcPr>
          <w:p w:rsidR="00727126" w:rsidRPr="0013535B" w:rsidRDefault="00727126" w:rsidP="00727126">
            <w:pPr>
              <w:jc w:val="both"/>
              <w:rPr>
                <w:rFonts w:asciiTheme="majorBidi" w:eastAsia="Times New Roman" w:hAnsiTheme="majorBidi" w:cstheme="majorBidi"/>
                <w:lang w:eastAsia="ar-SA"/>
              </w:rPr>
            </w:pPr>
            <w:r w:rsidRPr="0013535B">
              <w:rPr>
                <w:rFonts w:asciiTheme="majorBidi" w:eastAsia="Times New Roman" w:hAnsiTheme="majorBidi" w:cstheme="majorBidi"/>
                <w:lang w:eastAsia="ar-SA"/>
              </w:rPr>
              <w:t>4651,4652,4741,4742</w:t>
            </w:r>
          </w:p>
        </w:tc>
      </w:tr>
      <w:tr w:rsidR="00727126" w:rsidRPr="0013535B" w:rsidTr="00BF6A06">
        <w:tc>
          <w:tcPr>
            <w:tcW w:w="3494" w:type="dxa"/>
          </w:tcPr>
          <w:p w:rsidR="00727126" w:rsidRPr="0013535B" w:rsidRDefault="00727126" w:rsidP="00727126">
            <w:pPr>
              <w:jc w:val="both"/>
              <w:rPr>
                <w:rFonts w:asciiTheme="majorBidi" w:eastAsia="Times New Roman" w:hAnsiTheme="majorBidi" w:cstheme="majorBidi"/>
                <w:lang w:eastAsia="ar-SA"/>
              </w:rPr>
            </w:pPr>
            <w:r w:rsidRPr="0013535B">
              <w:rPr>
                <w:rFonts w:asciiTheme="majorBidi" w:eastAsia="Times New Roman" w:hAnsiTheme="majorBidi" w:cstheme="majorBidi"/>
                <w:lang w:eastAsia="ar-SA"/>
              </w:rPr>
              <w:t>Repair of computers and communication equipment</w:t>
            </w:r>
          </w:p>
        </w:tc>
        <w:tc>
          <w:tcPr>
            <w:tcW w:w="4621" w:type="dxa"/>
          </w:tcPr>
          <w:p w:rsidR="00727126" w:rsidRPr="0013535B" w:rsidRDefault="00727126" w:rsidP="00727126">
            <w:pPr>
              <w:jc w:val="both"/>
              <w:rPr>
                <w:rFonts w:asciiTheme="majorBidi" w:eastAsia="Times New Roman" w:hAnsiTheme="majorBidi" w:cstheme="majorBidi"/>
                <w:lang w:eastAsia="ar-SA"/>
              </w:rPr>
            </w:pPr>
            <w:r w:rsidRPr="0013535B">
              <w:rPr>
                <w:rFonts w:asciiTheme="majorBidi" w:eastAsia="Times New Roman" w:hAnsiTheme="majorBidi" w:cstheme="majorBidi"/>
                <w:lang w:eastAsia="ar-SA"/>
              </w:rPr>
              <w:t>9511,9512</w:t>
            </w:r>
          </w:p>
        </w:tc>
      </w:tr>
    </w:tbl>
    <w:p w:rsidR="001C646A" w:rsidRPr="004615B2" w:rsidRDefault="00CE1AA9" w:rsidP="00C41456">
      <w:pPr>
        <w:spacing w:line="240" w:lineRule="auto"/>
        <w:jc w:val="center"/>
        <w:rPr>
          <w:rFonts w:asciiTheme="majorBidi" w:eastAsia="Times New Roman" w:hAnsiTheme="majorBidi" w:cstheme="majorBidi"/>
          <w:b/>
          <w:bCs/>
          <w:sz w:val="20"/>
          <w:szCs w:val="20"/>
          <w:lang w:eastAsia="ar-SA"/>
        </w:rPr>
      </w:pPr>
      <w:r w:rsidRPr="004615B2">
        <w:rPr>
          <w:rFonts w:asciiTheme="majorBidi" w:eastAsia="Times New Roman" w:hAnsiTheme="majorBidi" w:cstheme="majorBidi"/>
          <w:b/>
          <w:bCs/>
          <w:sz w:val="20"/>
          <w:szCs w:val="20"/>
          <w:lang w:eastAsia="ar-SA"/>
        </w:rPr>
        <w:t xml:space="preserve">Table (1): </w:t>
      </w:r>
      <w:r w:rsidR="00134A1E" w:rsidRPr="004615B2">
        <w:rPr>
          <w:rFonts w:asciiTheme="majorBidi" w:eastAsia="Times New Roman" w:hAnsiTheme="majorBidi" w:cstheme="majorBidi"/>
          <w:b/>
          <w:bCs/>
          <w:sz w:val="20"/>
          <w:szCs w:val="20"/>
          <w:lang w:eastAsia="ar-SA"/>
        </w:rPr>
        <w:t>ICT</w:t>
      </w:r>
      <w:r w:rsidRPr="004615B2">
        <w:rPr>
          <w:rFonts w:asciiTheme="majorBidi" w:eastAsia="Times New Roman" w:hAnsiTheme="majorBidi" w:cstheme="majorBidi"/>
          <w:b/>
          <w:bCs/>
          <w:sz w:val="20"/>
          <w:szCs w:val="20"/>
          <w:lang w:eastAsia="ar-SA"/>
        </w:rPr>
        <w:t xml:space="preserve"> </w:t>
      </w:r>
      <w:r w:rsidR="00A42D00" w:rsidRPr="004615B2">
        <w:rPr>
          <w:rFonts w:asciiTheme="majorBidi" w:eastAsia="Times New Roman" w:hAnsiTheme="majorBidi" w:cstheme="majorBidi"/>
          <w:b/>
          <w:bCs/>
          <w:sz w:val="20"/>
          <w:szCs w:val="20"/>
          <w:lang w:eastAsia="ar-SA"/>
        </w:rPr>
        <w:t>E</w:t>
      </w:r>
      <w:r w:rsidRPr="004615B2">
        <w:rPr>
          <w:rFonts w:asciiTheme="majorBidi" w:eastAsia="Times New Roman" w:hAnsiTheme="majorBidi" w:cstheme="majorBidi"/>
          <w:b/>
          <w:bCs/>
          <w:sz w:val="20"/>
          <w:szCs w:val="20"/>
          <w:lang w:eastAsia="ar-SA"/>
        </w:rPr>
        <w:t xml:space="preserve">conomic </w:t>
      </w:r>
      <w:r w:rsidR="00A42D00" w:rsidRPr="004615B2">
        <w:rPr>
          <w:rFonts w:asciiTheme="majorBidi" w:eastAsia="Times New Roman" w:hAnsiTheme="majorBidi" w:cstheme="majorBidi"/>
          <w:b/>
          <w:bCs/>
          <w:sz w:val="20"/>
          <w:szCs w:val="20"/>
          <w:lang w:eastAsia="ar-SA"/>
        </w:rPr>
        <w:t>A</w:t>
      </w:r>
      <w:r w:rsidRPr="004615B2">
        <w:rPr>
          <w:rFonts w:asciiTheme="majorBidi" w:eastAsia="Times New Roman" w:hAnsiTheme="majorBidi" w:cstheme="majorBidi"/>
          <w:b/>
          <w:bCs/>
          <w:sz w:val="20"/>
          <w:szCs w:val="20"/>
          <w:lang w:eastAsia="ar-SA"/>
        </w:rPr>
        <w:t xml:space="preserve">ctivity with </w:t>
      </w:r>
      <w:r w:rsidR="00A42D00" w:rsidRPr="004615B2">
        <w:rPr>
          <w:rFonts w:asciiTheme="majorBidi" w:eastAsia="Times New Roman" w:hAnsiTheme="majorBidi" w:cstheme="majorBidi"/>
          <w:b/>
          <w:bCs/>
          <w:sz w:val="20"/>
          <w:szCs w:val="20"/>
          <w:lang w:eastAsia="ar-SA"/>
        </w:rPr>
        <w:t>C</w:t>
      </w:r>
      <w:r w:rsidR="00C41456">
        <w:rPr>
          <w:rFonts w:asciiTheme="majorBidi" w:eastAsia="Times New Roman" w:hAnsiTheme="majorBidi" w:cstheme="majorBidi"/>
          <w:b/>
          <w:bCs/>
          <w:sz w:val="20"/>
          <w:szCs w:val="20"/>
          <w:lang w:eastAsia="ar-SA"/>
        </w:rPr>
        <w:t xml:space="preserve">ompatible ISIC Rev.4 </w:t>
      </w:r>
      <w:r w:rsidRPr="004615B2">
        <w:rPr>
          <w:rFonts w:asciiTheme="majorBidi" w:eastAsia="Times New Roman" w:hAnsiTheme="majorBidi" w:cstheme="majorBidi"/>
          <w:b/>
          <w:bCs/>
          <w:sz w:val="20"/>
          <w:szCs w:val="20"/>
          <w:lang w:eastAsia="ar-SA"/>
        </w:rPr>
        <w:t>code</w:t>
      </w:r>
      <w:r w:rsidR="00C41456">
        <w:rPr>
          <w:rFonts w:asciiTheme="majorBidi" w:eastAsia="Times New Roman" w:hAnsiTheme="majorBidi" w:cstheme="majorBidi"/>
          <w:b/>
          <w:bCs/>
          <w:sz w:val="20"/>
          <w:szCs w:val="20"/>
          <w:lang w:eastAsia="ar-SA"/>
        </w:rPr>
        <w:t xml:space="preserve"> according to OECD recommendations</w:t>
      </w:r>
      <w:r w:rsidR="00767CE9" w:rsidRPr="004615B2">
        <w:rPr>
          <w:rFonts w:asciiTheme="majorBidi" w:eastAsia="Times New Roman" w:hAnsiTheme="majorBidi" w:cstheme="majorBidi"/>
          <w:b/>
          <w:bCs/>
          <w:sz w:val="20"/>
          <w:szCs w:val="20"/>
          <w:lang w:eastAsia="ar-SA"/>
        </w:rPr>
        <w:t xml:space="preserve"> </w:t>
      </w:r>
      <w:r w:rsidR="00C41456">
        <w:rPr>
          <w:rFonts w:asciiTheme="majorBidi" w:eastAsia="Times New Roman" w:hAnsiTheme="majorBidi" w:cstheme="majorBidi"/>
          <w:b/>
          <w:bCs/>
          <w:sz w:val="20"/>
          <w:szCs w:val="20"/>
          <w:lang w:eastAsia="ar-SA"/>
        </w:rPr>
        <w:t>[2]</w:t>
      </w:r>
    </w:p>
    <w:p w:rsidR="009F19B3" w:rsidRPr="0013535B" w:rsidRDefault="009F19B3" w:rsidP="009F19B3">
      <w:pPr>
        <w:pStyle w:val="BodyText2"/>
        <w:bidi w:val="0"/>
        <w:jc w:val="both"/>
        <w:rPr>
          <w:rFonts w:asciiTheme="majorBidi" w:hAnsiTheme="majorBidi" w:cstheme="majorBidi"/>
          <w:sz w:val="22"/>
          <w:szCs w:val="22"/>
          <w:rtl/>
        </w:rPr>
      </w:pPr>
    </w:p>
    <w:p w:rsidR="003B44F2" w:rsidRDefault="003B44F2" w:rsidP="00D72E4E">
      <w:pPr>
        <w:pStyle w:val="BodyText2"/>
        <w:tabs>
          <w:tab w:val="right" w:pos="142"/>
        </w:tabs>
        <w:bidi w:val="0"/>
        <w:ind w:left="284" w:right="284"/>
        <w:jc w:val="both"/>
        <w:rPr>
          <w:rFonts w:asciiTheme="majorBidi" w:hAnsiTheme="majorBidi" w:cstheme="majorBidi"/>
          <w:b/>
          <w:bCs/>
          <w:color w:val="000000" w:themeColor="text1"/>
          <w:sz w:val="22"/>
          <w:szCs w:val="22"/>
        </w:rPr>
      </w:pPr>
    </w:p>
    <w:p w:rsidR="003B44F2" w:rsidRDefault="003B44F2" w:rsidP="003B44F2">
      <w:pPr>
        <w:pStyle w:val="BodyText2"/>
        <w:tabs>
          <w:tab w:val="right" w:pos="142"/>
        </w:tabs>
        <w:bidi w:val="0"/>
        <w:ind w:left="284" w:right="284"/>
        <w:jc w:val="both"/>
        <w:rPr>
          <w:rFonts w:asciiTheme="majorBidi" w:hAnsiTheme="majorBidi" w:cstheme="majorBidi"/>
          <w:b/>
          <w:bCs/>
          <w:color w:val="000000" w:themeColor="text1"/>
          <w:sz w:val="22"/>
          <w:szCs w:val="22"/>
        </w:rPr>
      </w:pPr>
    </w:p>
    <w:p w:rsidR="003B44F2" w:rsidRDefault="003B44F2" w:rsidP="003B44F2">
      <w:pPr>
        <w:pStyle w:val="BodyText2"/>
        <w:tabs>
          <w:tab w:val="right" w:pos="142"/>
        </w:tabs>
        <w:bidi w:val="0"/>
        <w:ind w:left="284" w:right="284"/>
        <w:jc w:val="both"/>
        <w:rPr>
          <w:rFonts w:asciiTheme="majorBidi" w:hAnsiTheme="majorBidi" w:cstheme="majorBidi"/>
          <w:b/>
          <w:bCs/>
          <w:color w:val="000000" w:themeColor="text1"/>
          <w:sz w:val="22"/>
          <w:szCs w:val="22"/>
        </w:rPr>
      </w:pPr>
    </w:p>
    <w:p w:rsidR="003B44F2" w:rsidRDefault="003B44F2" w:rsidP="003B44F2">
      <w:pPr>
        <w:pStyle w:val="BodyText2"/>
        <w:tabs>
          <w:tab w:val="right" w:pos="142"/>
        </w:tabs>
        <w:bidi w:val="0"/>
        <w:ind w:left="284" w:right="284"/>
        <w:jc w:val="both"/>
        <w:rPr>
          <w:rFonts w:asciiTheme="majorBidi" w:hAnsiTheme="majorBidi" w:cstheme="majorBidi"/>
          <w:b/>
          <w:bCs/>
          <w:color w:val="000000" w:themeColor="text1"/>
          <w:sz w:val="22"/>
          <w:szCs w:val="22"/>
        </w:rPr>
      </w:pPr>
    </w:p>
    <w:p w:rsidR="003B44F2" w:rsidRDefault="003B44F2" w:rsidP="003B44F2">
      <w:pPr>
        <w:pStyle w:val="BodyText2"/>
        <w:tabs>
          <w:tab w:val="right" w:pos="142"/>
        </w:tabs>
        <w:bidi w:val="0"/>
        <w:ind w:left="284" w:right="284"/>
        <w:jc w:val="both"/>
        <w:rPr>
          <w:rFonts w:asciiTheme="majorBidi" w:hAnsiTheme="majorBidi" w:cstheme="majorBidi"/>
          <w:b/>
          <w:bCs/>
          <w:color w:val="000000" w:themeColor="text1"/>
          <w:sz w:val="22"/>
          <w:szCs w:val="22"/>
        </w:rPr>
      </w:pPr>
    </w:p>
    <w:p w:rsidR="003B44F2" w:rsidRDefault="003B44F2" w:rsidP="003B44F2">
      <w:pPr>
        <w:pStyle w:val="BodyText2"/>
        <w:tabs>
          <w:tab w:val="right" w:pos="142"/>
        </w:tabs>
        <w:bidi w:val="0"/>
        <w:ind w:left="284" w:right="284"/>
        <w:jc w:val="both"/>
        <w:rPr>
          <w:rFonts w:asciiTheme="majorBidi" w:hAnsiTheme="majorBidi" w:cstheme="majorBidi"/>
          <w:b/>
          <w:bCs/>
          <w:color w:val="000000" w:themeColor="text1"/>
          <w:sz w:val="22"/>
          <w:szCs w:val="22"/>
        </w:rPr>
      </w:pPr>
    </w:p>
    <w:p w:rsidR="003B44F2" w:rsidRDefault="003B44F2" w:rsidP="003B44F2">
      <w:pPr>
        <w:pStyle w:val="BodyText2"/>
        <w:tabs>
          <w:tab w:val="right" w:pos="142"/>
        </w:tabs>
        <w:bidi w:val="0"/>
        <w:ind w:left="284" w:right="284"/>
        <w:jc w:val="both"/>
        <w:rPr>
          <w:rFonts w:asciiTheme="majorBidi" w:hAnsiTheme="majorBidi" w:cstheme="majorBidi"/>
          <w:b/>
          <w:bCs/>
          <w:color w:val="000000" w:themeColor="text1"/>
          <w:sz w:val="22"/>
          <w:szCs w:val="22"/>
        </w:rPr>
      </w:pPr>
    </w:p>
    <w:p w:rsidR="003B44F2" w:rsidRDefault="003B44F2" w:rsidP="003B44F2">
      <w:pPr>
        <w:pStyle w:val="BodyText2"/>
        <w:tabs>
          <w:tab w:val="right" w:pos="142"/>
        </w:tabs>
        <w:bidi w:val="0"/>
        <w:ind w:left="284" w:right="284"/>
        <w:jc w:val="both"/>
        <w:rPr>
          <w:rFonts w:asciiTheme="majorBidi" w:hAnsiTheme="majorBidi" w:cstheme="majorBidi"/>
          <w:b/>
          <w:bCs/>
          <w:color w:val="000000" w:themeColor="text1"/>
          <w:sz w:val="22"/>
          <w:szCs w:val="22"/>
        </w:rPr>
      </w:pPr>
    </w:p>
    <w:p w:rsidR="003B44F2" w:rsidRDefault="003B44F2" w:rsidP="003B44F2">
      <w:pPr>
        <w:pStyle w:val="BodyText2"/>
        <w:tabs>
          <w:tab w:val="right" w:pos="142"/>
        </w:tabs>
        <w:bidi w:val="0"/>
        <w:ind w:left="284" w:right="284"/>
        <w:jc w:val="both"/>
        <w:rPr>
          <w:rFonts w:asciiTheme="majorBidi" w:hAnsiTheme="majorBidi" w:cstheme="majorBidi"/>
          <w:b/>
          <w:bCs/>
          <w:color w:val="000000" w:themeColor="text1"/>
          <w:sz w:val="22"/>
          <w:szCs w:val="22"/>
        </w:rPr>
      </w:pPr>
    </w:p>
    <w:p w:rsidR="003B44F2" w:rsidRDefault="003B44F2" w:rsidP="003B44F2">
      <w:pPr>
        <w:pStyle w:val="BodyText2"/>
        <w:tabs>
          <w:tab w:val="right" w:pos="142"/>
        </w:tabs>
        <w:bidi w:val="0"/>
        <w:ind w:left="284" w:right="284"/>
        <w:jc w:val="both"/>
        <w:rPr>
          <w:rFonts w:asciiTheme="majorBidi" w:hAnsiTheme="majorBidi" w:cstheme="majorBidi"/>
          <w:b/>
          <w:bCs/>
          <w:color w:val="000000" w:themeColor="text1"/>
          <w:sz w:val="22"/>
          <w:szCs w:val="22"/>
        </w:rPr>
      </w:pPr>
    </w:p>
    <w:p w:rsidR="003B44F2" w:rsidRDefault="003B44F2" w:rsidP="003B44F2">
      <w:pPr>
        <w:pStyle w:val="BodyText2"/>
        <w:tabs>
          <w:tab w:val="right" w:pos="142"/>
        </w:tabs>
        <w:bidi w:val="0"/>
        <w:ind w:left="284" w:right="284"/>
        <w:jc w:val="both"/>
        <w:rPr>
          <w:rFonts w:asciiTheme="majorBidi" w:hAnsiTheme="majorBidi" w:cstheme="majorBidi"/>
          <w:b/>
          <w:bCs/>
          <w:color w:val="000000" w:themeColor="text1"/>
          <w:sz w:val="22"/>
          <w:szCs w:val="22"/>
        </w:rPr>
      </w:pPr>
    </w:p>
    <w:p w:rsidR="004F7A46" w:rsidRPr="0013535B" w:rsidRDefault="004F7A46" w:rsidP="000816EF">
      <w:pPr>
        <w:pStyle w:val="BodyText2"/>
        <w:bidi w:val="0"/>
        <w:jc w:val="both"/>
        <w:rPr>
          <w:rFonts w:asciiTheme="majorBidi" w:hAnsiTheme="majorBidi" w:cstheme="majorBidi"/>
          <w:b/>
          <w:bCs/>
          <w:sz w:val="22"/>
          <w:szCs w:val="22"/>
        </w:rPr>
      </w:pPr>
    </w:p>
    <w:p w:rsidR="00F104D4" w:rsidRPr="0013535B" w:rsidRDefault="00654210" w:rsidP="004F7A46">
      <w:pPr>
        <w:pStyle w:val="BodyText2"/>
        <w:bidi w:val="0"/>
        <w:jc w:val="both"/>
        <w:rPr>
          <w:rFonts w:asciiTheme="majorBidi" w:hAnsiTheme="majorBidi" w:cstheme="majorBidi"/>
          <w:b/>
          <w:bCs/>
          <w:sz w:val="22"/>
          <w:szCs w:val="22"/>
        </w:rPr>
      </w:pPr>
      <w:r>
        <w:rPr>
          <w:rFonts w:asciiTheme="majorBidi" w:hAnsiTheme="majorBidi" w:cstheme="majorBidi"/>
          <w:b/>
          <w:bCs/>
          <w:sz w:val="22"/>
          <w:szCs w:val="22"/>
        </w:rPr>
        <w:t>2.1</w:t>
      </w:r>
      <w:r w:rsidR="00581FDB" w:rsidRPr="0013535B">
        <w:rPr>
          <w:rFonts w:asciiTheme="majorBidi" w:hAnsiTheme="majorBidi" w:cstheme="majorBidi"/>
          <w:b/>
          <w:bCs/>
          <w:sz w:val="22"/>
          <w:szCs w:val="22"/>
        </w:rPr>
        <w:t xml:space="preserve"> </w:t>
      </w:r>
      <w:r w:rsidR="00510C66" w:rsidRPr="0013535B">
        <w:rPr>
          <w:rFonts w:asciiTheme="majorBidi" w:hAnsiTheme="majorBidi" w:cstheme="majorBidi"/>
          <w:b/>
          <w:bCs/>
          <w:sz w:val="22"/>
          <w:szCs w:val="22"/>
        </w:rPr>
        <w:t xml:space="preserve">Primary </w:t>
      </w:r>
      <w:r w:rsidR="003A618A" w:rsidRPr="0013535B">
        <w:rPr>
          <w:rFonts w:asciiTheme="majorBidi" w:hAnsiTheme="majorBidi" w:cstheme="majorBidi"/>
          <w:b/>
          <w:bCs/>
          <w:sz w:val="22"/>
          <w:szCs w:val="22"/>
        </w:rPr>
        <w:t xml:space="preserve">Data </w:t>
      </w:r>
      <w:r w:rsidR="00B56191" w:rsidRPr="0013535B">
        <w:rPr>
          <w:rFonts w:asciiTheme="majorBidi" w:hAnsiTheme="majorBidi" w:cstheme="majorBidi"/>
          <w:b/>
          <w:bCs/>
          <w:sz w:val="22"/>
          <w:szCs w:val="22"/>
        </w:rPr>
        <w:t>S</w:t>
      </w:r>
      <w:r w:rsidR="003A618A" w:rsidRPr="0013535B">
        <w:rPr>
          <w:rFonts w:asciiTheme="majorBidi" w:hAnsiTheme="majorBidi" w:cstheme="majorBidi"/>
          <w:b/>
          <w:bCs/>
          <w:sz w:val="22"/>
          <w:szCs w:val="22"/>
        </w:rPr>
        <w:t>ources</w:t>
      </w:r>
    </w:p>
    <w:p w:rsidR="00510C66" w:rsidRPr="0013535B" w:rsidRDefault="00134A1E" w:rsidP="00767CE9">
      <w:pPr>
        <w:pStyle w:val="BodyText2"/>
        <w:bidi w:val="0"/>
        <w:jc w:val="both"/>
        <w:rPr>
          <w:rFonts w:asciiTheme="majorBidi" w:hAnsiTheme="majorBidi" w:cstheme="majorBidi"/>
          <w:b/>
          <w:bCs/>
          <w:sz w:val="22"/>
          <w:szCs w:val="22"/>
        </w:rPr>
      </w:pPr>
      <w:r w:rsidRPr="0013535B">
        <w:rPr>
          <w:rFonts w:asciiTheme="majorBidi" w:hAnsiTheme="majorBidi" w:cstheme="majorBidi"/>
          <w:color w:val="000000" w:themeColor="text1"/>
          <w:sz w:val="22"/>
          <w:szCs w:val="22"/>
        </w:rPr>
        <w:t>ICT</w:t>
      </w:r>
      <w:r w:rsidR="00510C66" w:rsidRPr="0013535B">
        <w:rPr>
          <w:rFonts w:asciiTheme="majorBidi" w:hAnsiTheme="majorBidi" w:cstheme="majorBidi"/>
          <w:color w:val="000000" w:themeColor="text1"/>
          <w:sz w:val="22"/>
          <w:szCs w:val="22"/>
        </w:rPr>
        <w:t xml:space="preserve"> satellite accounts rely on many data sources and variety of data collection and compilation methods</w:t>
      </w:r>
      <w:r w:rsidR="00D02C05" w:rsidRPr="0013535B">
        <w:rPr>
          <w:rFonts w:asciiTheme="majorBidi" w:hAnsiTheme="majorBidi" w:cstheme="majorBidi"/>
          <w:color w:val="000000" w:themeColor="text1"/>
          <w:sz w:val="22"/>
          <w:szCs w:val="22"/>
        </w:rPr>
        <w:t xml:space="preserve"> in order to cover the </w:t>
      </w:r>
      <w:r w:rsidR="00767CE9">
        <w:rPr>
          <w:rFonts w:asciiTheme="majorBidi" w:hAnsiTheme="majorBidi" w:cstheme="majorBidi"/>
          <w:color w:val="000000" w:themeColor="text1"/>
          <w:sz w:val="22"/>
          <w:szCs w:val="22"/>
        </w:rPr>
        <w:t>recommended sectors.   T</w:t>
      </w:r>
      <w:r w:rsidR="00510C66" w:rsidRPr="0013535B">
        <w:rPr>
          <w:rFonts w:asciiTheme="majorBidi" w:hAnsiTheme="majorBidi" w:cstheme="majorBidi"/>
          <w:color w:val="000000" w:themeColor="text1"/>
          <w:sz w:val="22"/>
          <w:szCs w:val="22"/>
        </w:rPr>
        <w:t xml:space="preserve">he total data sources </w:t>
      </w:r>
      <w:r w:rsidR="00573246" w:rsidRPr="0013535B">
        <w:rPr>
          <w:rFonts w:asciiTheme="majorBidi" w:hAnsiTheme="majorBidi" w:cstheme="majorBidi"/>
          <w:color w:val="000000" w:themeColor="text1"/>
          <w:sz w:val="22"/>
          <w:szCs w:val="22"/>
        </w:rPr>
        <w:t xml:space="preserve">are </w:t>
      </w:r>
      <w:r w:rsidR="00510C66" w:rsidRPr="0013535B">
        <w:rPr>
          <w:rFonts w:asciiTheme="majorBidi" w:hAnsiTheme="majorBidi" w:cstheme="majorBidi"/>
          <w:color w:val="000000" w:themeColor="text1"/>
          <w:sz w:val="22"/>
          <w:szCs w:val="22"/>
        </w:rPr>
        <w:t>as follows:</w:t>
      </w:r>
    </w:p>
    <w:p w:rsidR="00DE0F8E" w:rsidRPr="0013535B" w:rsidRDefault="00767CE9" w:rsidP="00DE0F8E">
      <w:pPr>
        <w:pStyle w:val="BodyText2"/>
        <w:numPr>
          <w:ilvl w:val="0"/>
          <w:numId w:val="4"/>
        </w:numPr>
        <w:bidi w:val="0"/>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lastRenderedPageBreak/>
        <w:t>Import and export data are from administrative records</w:t>
      </w:r>
      <w:r w:rsidR="00DE0F8E" w:rsidRPr="0013535B">
        <w:rPr>
          <w:rFonts w:asciiTheme="majorBidi" w:hAnsiTheme="majorBidi" w:cstheme="majorBidi"/>
          <w:color w:val="000000" w:themeColor="text1"/>
          <w:sz w:val="22"/>
          <w:szCs w:val="22"/>
        </w:rPr>
        <w:t xml:space="preserve"> </w:t>
      </w:r>
      <w:r w:rsidR="00DE0F8E" w:rsidRPr="0013535B">
        <w:rPr>
          <w:rFonts w:asciiTheme="majorBidi" w:hAnsiTheme="majorBidi" w:cstheme="majorBidi"/>
          <w:sz w:val="22"/>
          <w:szCs w:val="22"/>
        </w:rPr>
        <w:t>through coordination between institutions in order to build a partnership to enhance the value of official statistics</w:t>
      </w:r>
      <w:r w:rsidR="004573B9">
        <w:rPr>
          <w:rFonts w:asciiTheme="majorBidi" w:hAnsiTheme="majorBidi" w:cstheme="majorBidi"/>
          <w:color w:val="000000" w:themeColor="text1"/>
          <w:sz w:val="22"/>
          <w:szCs w:val="22"/>
        </w:rPr>
        <w:t>.</w:t>
      </w:r>
    </w:p>
    <w:p w:rsidR="009A324A" w:rsidRDefault="009A324A" w:rsidP="000816EF">
      <w:pPr>
        <w:pStyle w:val="BodyText2"/>
        <w:numPr>
          <w:ilvl w:val="0"/>
          <w:numId w:val="4"/>
        </w:numPr>
        <w:bidi w:val="0"/>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Main e</w:t>
      </w:r>
      <w:r w:rsidR="00510C66" w:rsidRPr="0013535B">
        <w:rPr>
          <w:rFonts w:asciiTheme="majorBidi" w:hAnsiTheme="majorBidi" w:cstheme="majorBidi"/>
          <w:color w:val="000000" w:themeColor="text1"/>
          <w:sz w:val="22"/>
          <w:szCs w:val="22"/>
        </w:rPr>
        <w:t xml:space="preserve">conomic </w:t>
      </w:r>
      <w:r>
        <w:rPr>
          <w:rFonts w:asciiTheme="majorBidi" w:hAnsiTheme="majorBidi" w:cstheme="majorBidi"/>
          <w:color w:val="000000" w:themeColor="text1"/>
          <w:sz w:val="22"/>
          <w:szCs w:val="22"/>
        </w:rPr>
        <w:t>indicators are from economic survey</w:t>
      </w:r>
      <w:r w:rsidR="0038749A">
        <w:rPr>
          <w:rFonts w:asciiTheme="majorBidi" w:hAnsiTheme="majorBidi" w:cstheme="majorBidi"/>
          <w:color w:val="000000" w:themeColor="text1"/>
          <w:sz w:val="22"/>
          <w:szCs w:val="22"/>
        </w:rPr>
        <w:t>s</w:t>
      </w:r>
      <w:r>
        <w:rPr>
          <w:rFonts w:asciiTheme="majorBidi" w:hAnsiTheme="majorBidi" w:cstheme="majorBidi"/>
          <w:color w:val="000000" w:themeColor="text1"/>
          <w:sz w:val="22"/>
          <w:szCs w:val="22"/>
        </w:rPr>
        <w:t xml:space="preserve"> series that implemented annually by PCBS.</w:t>
      </w:r>
    </w:p>
    <w:p w:rsidR="002D1E0E" w:rsidRPr="002C6C91" w:rsidRDefault="004573B9" w:rsidP="00881D05">
      <w:pPr>
        <w:pStyle w:val="BodyText2"/>
        <w:numPr>
          <w:ilvl w:val="0"/>
          <w:numId w:val="4"/>
        </w:numPr>
        <w:bidi w:val="0"/>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HFC</w:t>
      </w:r>
      <w:r w:rsidR="00881D05" w:rsidRPr="002C6C91">
        <w:rPr>
          <w:rFonts w:asciiTheme="majorBidi" w:hAnsiTheme="majorBidi" w:cstheme="majorBidi"/>
          <w:color w:val="000000" w:themeColor="text1"/>
          <w:sz w:val="22"/>
          <w:szCs w:val="22"/>
        </w:rPr>
        <w:t xml:space="preserve"> are from household expenditure and consumption survey</w:t>
      </w:r>
      <w:r w:rsidR="009A324A" w:rsidRPr="002C6C91">
        <w:rPr>
          <w:rFonts w:asciiTheme="majorBidi" w:hAnsiTheme="majorBidi" w:cstheme="majorBidi"/>
          <w:color w:val="000000" w:themeColor="text1"/>
          <w:sz w:val="22"/>
          <w:szCs w:val="22"/>
        </w:rPr>
        <w:t xml:space="preserve"> for the year 2017.</w:t>
      </w:r>
    </w:p>
    <w:p w:rsidR="00204683" w:rsidRPr="00A42D00" w:rsidRDefault="009A324A" w:rsidP="00A42D00">
      <w:pPr>
        <w:pStyle w:val="BodyText2"/>
        <w:numPr>
          <w:ilvl w:val="0"/>
          <w:numId w:val="4"/>
        </w:numPr>
        <w:bidi w:val="0"/>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Census 2017</w:t>
      </w:r>
      <w:r w:rsidR="004573B9">
        <w:rPr>
          <w:rFonts w:asciiTheme="majorBidi" w:hAnsiTheme="majorBidi" w:cstheme="majorBidi"/>
          <w:color w:val="000000" w:themeColor="text1"/>
          <w:sz w:val="22"/>
          <w:szCs w:val="22"/>
        </w:rPr>
        <w:t>.</w:t>
      </w:r>
    </w:p>
    <w:p w:rsidR="00204683" w:rsidRPr="0013535B" w:rsidRDefault="00204683" w:rsidP="00204683">
      <w:pPr>
        <w:pStyle w:val="BodyText2"/>
        <w:bidi w:val="0"/>
        <w:jc w:val="both"/>
        <w:rPr>
          <w:rFonts w:asciiTheme="majorBidi" w:hAnsiTheme="majorBidi" w:cstheme="majorBidi"/>
          <w:b/>
          <w:bCs/>
          <w:color w:val="000000" w:themeColor="text1"/>
          <w:sz w:val="22"/>
          <w:szCs w:val="22"/>
        </w:rPr>
      </w:pPr>
    </w:p>
    <w:p w:rsidR="00581FDB" w:rsidRPr="0013535B" w:rsidRDefault="00423D2B" w:rsidP="00423D2B">
      <w:pPr>
        <w:pStyle w:val="BodyText2"/>
        <w:bidi w:val="0"/>
        <w:jc w:val="both"/>
        <w:rPr>
          <w:rFonts w:asciiTheme="majorBidi" w:hAnsiTheme="majorBidi" w:cstheme="majorBidi"/>
          <w:b/>
          <w:bCs/>
          <w:color w:val="000000" w:themeColor="text1"/>
          <w:sz w:val="22"/>
          <w:szCs w:val="22"/>
        </w:rPr>
      </w:pPr>
      <w:r w:rsidRPr="00423D2B">
        <w:rPr>
          <w:rFonts w:asciiTheme="majorBidi" w:hAnsiTheme="majorBidi" w:cstheme="majorBidi"/>
          <w:b/>
          <w:bCs/>
          <w:color w:val="000000" w:themeColor="text1"/>
          <w:sz w:val="22"/>
          <w:szCs w:val="22"/>
        </w:rPr>
        <w:t>3.</w:t>
      </w:r>
      <w:r>
        <w:rPr>
          <w:rFonts w:asciiTheme="majorBidi" w:hAnsiTheme="majorBidi" w:cstheme="majorBidi"/>
          <w:b/>
          <w:bCs/>
          <w:color w:val="000000" w:themeColor="text1"/>
          <w:sz w:val="22"/>
          <w:szCs w:val="22"/>
        </w:rPr>
        <w:t xml:space="preserve"> </w:t>
      </w:r>
      <w:r w:rsidR="00786740" w:rsidRPr="0013535B">
        <w:rPr>
          <w:rFonts w:asciiTheme="majorBidi" w:hAnsiTheme="majorBidi" w:cstheme="majorBidi"/>
          <w:b/>
          <w:bCs/>
          <w:color w:val="000000" w:themeColor="text1"/>
          <w:sz w:val="22"/>
          <w:szCs w:val="22"/>
        </w:rPr>
        <w:t>Main Result</w:t>
      </w:r>
    </w:p>
    <w:p w:rsidR="00204683" w:rsidRPr="00204683" w:rsidRDefault="00423D2B" w:rsidP="00423D2B">
      <w:pPr>
        <w:pStyle w:val="BodyText2"/>
        <w:bidi w:val="0"/>
        <w:jc w:val="both"/>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t xml:space="preserve">3.1 </w:t>
      </w:r>
      <w:r w:rsidR="001D2EDD" w:rsidRPr="00204683">
        <w:rPr>
          <w:rFonts w:asciiTheme="majorBidi" w:hAnsiTheme="majorBidi" w:cstheme="majorBidi"/>
          <w:b/>
          <w:bCs/>
          <w:color w:val="000000" w:themeColor="text1"/>
          <w:sz w:val="22"/>
          <w:szCs w:val="22"/>
        </w:rPr>
        <w:t>Import and Export</w:t>
      </w:r>
      <w:r w:rsidR="00406CFD">
        <w:rPr>
          <w:rFonts w:asciiTheme="majorBidi" w:hAnsiTheme="majorBidi" w:cstheme="majorBidi"/>
          <w:b/>
          <w:bCs/>
          <w:color w:val="000000" w:themeColor="text1"/>
          <w:sz w:val="22"/>
          <w:szCs w:val="22"/>
        </w:rPr>
        <w:t xml:space="preserve"> of </w:t>
      </w:r>
      <w:r w:rsidR="001D2EDD" w:rsidRPr="00204683">
        <w:rPr>
          <w:rFonts w:asciiTheme="majorBidi" w:hAnsiTheme="majorBidi" w:cstheme="majorBidi"/>
          <w:b/>
          <w:bCs/>
          <w:color w:val="000000" w:themeColor="text1"/>
          <w:sz w:val="22"/>
          <w:szCs w:val="22"/>
        </w:rPr>
        <w:t xml:space="preserve"> </w:t>
      </w:r>
      <w:r w:rsidR="00134A1E" w:rsidRPr="00204683">
        <w:rPr>
          <w:rFonts w:asciiTheme="majorBidi" w:hAnsiTheme="majorBidi" w:cstheme="majorBidi"/>
          <w:b/>
          <w:bCs/>
          <w:color w:val="000000" w:themeColor="text1"/>
          <w:sz w:val="22"/>
          <w:szCs w:val="22"/>
        </w:rPr>
        <w:t>ICT</w:t>
      </w:r>
      <w:r w:rsidR="001D2EDD" w:rsidRPr="00204683">
        <w:rPr>
          <w:rFonts w:asciiTheme="majorBidi" w:hAnsiTheme="majorBidi" w:cstheme="majorBidi"/>
          <w:b/>
          <w:bCs/>
          <w:color w:val="000000" w:themeColor="text1"/>
          <w:sz w:val="22"/>
          <w:szCs w:val="22"/>
        </w:rPr>
        <w:t xml:space="preserve"> products </w:t>
      </w:r>
    </w:p>
    <w:p w:rsidR="00423D2B" w:rsidRPr="00FD743A" w:rsidRDefault="0090224F" w:rsidP="00423D2B">
      <w:pPr>
        <w:pStyle w:val="BodyText2"/>
        <w:bidi w:val="0"/>
        <w:jc w:val="both"/>
        <w:rPr>
          <w:rFonts w:asciiTheme="majorBidi" w:hAnsiTheme="majorBidi" w:cstheme="majorBidi"/>
          <w:color w:val="000000" w:themeColor="text1"/>
          <w:sz w:val="22"/>
          <w:szCs w:val="22"/>
        </w:rPr>
      </w:pPr>
      <w:r w:rsidRPr="003C75C2">
        <w:rPr>
          <w:rFonts w:asciiTheme="majorBidi" w:hAnsiTheme="majorBidi" w:cstheme="majorBidi"/>
          <w:color w:val="000000" w:themeColor="text1"/>
          <w:sz w:val="22"/>
          <w:szCs w:val="22"/>
        </w:rPr>
        <w:t>Import and export data for ICT products are from administrative reco</w:t>
      </w:r>
      <w:r w:rsidR="003C75C2" w:rsidRPr="003C75C2">
        <w:rPr>
          <w:rFonts w:asciiTheme="majorBidi" w:hAnsiTheme="majorBidi" w:cstheme="majorBidi"/>
          <w:color w:val="000000" w:themeColor="text1"/>
          <w:sz w:val="22"/>
          <w:szCs w:val="22"/>
        </w:rPr>
        <w:t xml:space="preserve">rds, it measures the trade </w:t>
      </w:r>
      <w:r w:rsidR="00417B65">
        <w:rPr>
          <w:rFonts w:asciiTheme="majorBidi" w:hAnsiTheme="majorBidi" w:cstheme="majorBidi"/>
          <w:color w:val="000000" w:themeColor="text1"/>
          <w:sz w:val="22"/>
          <w:szCs w:val="22"/>
        </w:rPr>
        <w:t>transaction  volume</w:t>
      </w:r>
      <w:r w:rsidR="003C75C2" w:rsidRPr="003C75C2">
        <w:rPr>
          <w:rFonts w:asciiTheme="majorBidi" w:hAnsiTheme="majorBidi" w:cstheme="majorBidi"/>
          <w:color w:val="000000" w:themeColor="text1"/>
          <w:sz w:val="22"/>
          <w:szCs w:val="22"/>
        </w:rPr>
        <w:t xml:space="preserve"> betwee</w:t>
      </w:r>
      <w:r w:rsidR="0038749A">
        <w:rPr>
          <w:rFonts w:asciiTheme="majorBidi" w:hAnsiTheme="majorBidi" w:cstheme="majorBidi"/>
          <w:color w:val="000000" w:themeColor="text1"/>
          <w:sz w:val="22"/>
          <w:szCs w:val="22"/>
        </w:rPr>
        <w:t>n Palestine and the whole world</w:t>
      </w:r>
      <w:r w:rsidR="003C75C2" w:rsidRPr="003C75C2">
        <w:rPr>
          <w:rFonts w:asciiTheme="majorBidi" w:hAnsiTheme="majorBidi" w:cstheme="majorBidi"/>
          <w:color w:val="000000" w:themeColor="text1"/>
          <w:sz w:val="22"/>
          <w:szCs w:val="22"/>
        </w:rPr>
        <w:t xml:space="preserve"> inclu</w:t>
      </w:r>
      <w:r w:rsidR="00D06517">
        <w:rPr>
          <w:rFonts w:asciiTheme="majorBidi" w:hAnsiTheme="majorBidi" w:cstheme="majorBidi"/>
          <w:color w:val="000000" w:themeColor="text1"/>
          <w:sz w:val="22"/>
          <w:szCs w:val="22"/>
        </w:rPr>
        <w:t xml:space="preserve">ding Israel, in the other hand, data for ICT </w:t>
      </w:r>
      <w:r w:rsidR="00417B65">
        <w:rPr>
          <w:rFonts w:asciiTheme="majorBidi" w:hAnsiTheme="majorBidi" w:cstheme="majorBidi"/>
          <w:color w:val="000000" w:themeColor="text1"/>
          <w:sz w:val="22"/>
          <w:szCs w:val="22"/>
        </w:rPr>
        <w:t xml:space="preserve">import and export </w:t>
      </w:r>
      <w:r w:rsidR="00D06517">
        <w:rPr>
          <w:rFonts w:asciiTheme="majorBidi" w:hAnsiTheme="majorBidi" w:cstheme="majorBidi"/>
          <w:color w:val="000000" w:themeColor="text1"/>
          <w:sz w:val="22"/>
          <w:szCs w:val="22"/>
        </w:rPr>
        <w:t>services</w:t>
      </w:r>
      <w:r w:rsidR="003C75C2" w:rsidRPr="003C75C2">
        <w:rPr>
          <w:rFonts w:asciiTheme="majorBidi" w:hAnsiTheme="majorBidi" w:cstheme="majorBidi"/>
          <w:color w:val="000000" w:themeColor="text1"/>
          <w:sz w:val="22"/>
          <w:szCs w:val="22"/>
        </w:rPr>
        <w:t xml:space="preserve"> are estimated values for the year 2017.  </w:t>
      </w:r>
      <w:r w:rsidR="00D06517">
        <w:rPr>
          <w:rFonts w:asciiTheme="majorBidi" w:hAnsiTheme="majorBidi" w:cstheme="majorBidi"/>
          <w:color w:val="000000" w:themeColor="text1"/>
          <w:sz w:val="22"/>
          <w:szCs w:val="22"/>
        </w:rPr>
        <w:t>Palestine</w:t>
      </w:r>
      <w:r w:rsidR="00CE2F6E" w:rsidRPr="003C75C2">
        <w:rPr>
          <w:rFonts w:asciiTheme="majorBidi" w:hAnsiTheme="majorBidi" w:cstheme="majorBidi"/>
          <w:color w:val="000000" w:themeColor="text1"/>
          <w:sz w:val="22"/>
          <w:szCs w:val="22"/>
        </w:rPr>
        <w:t xml:space="preserve"> import</w:t>
      </w:r>
      <w:r w:rsidR="00D06517">
        <w:rPr>
          <w:rFonts w:asciiTheme="majorBidi" w:hAnsiTheme="majorBidi" w:cstheme="majorBidi"/>
          <w:color w:val="000000" w:themeColor="text1"/>
          <w:sz w:val="22"/>
          <w:szCs w:val="22"/>
        </w:rPr>
        <w:t xml:space="preserve">ed a total of </w:t>
      </w:r>
      <w:r w:rsidR="00CE2F6E" w:rsidRPr="003C75C2">
        <w:rPr>
          <w:rFonts w:asciiTheme="majorBidi" w:hAnsiTheme="majorBidi" w:cstheme="majorBidi"/>
          <w:color w:val="000000" w:themeColor="text1"/>
          <w:sz w:val="22"/>
          <w:szCs w:val="22"/>
        </w:rPr>
        <w:t xml:space="preserve"> </w:t>
      </w:r>
      <w:r w:rsidR="00D06517" w:rsidRPr="003C75C2">
        <w:rPr>
          <w:rFonts w:asciiTheme="majorBidi" w:hAnsiTheme="majorBidi" w:cstheme="majorBidi"/>
          <w:color w:val="000000" w:themeColor="text1"/>
          <w:sz w:val="22"/>
          <w:szCs w:val="22"/>
        </w:rPr>
        <w:t xml:space="preserve">USD 262 million </w:t>
      </w:r>
      <w:r w:rsidR="00CE2F6E" w:rsidRPr="003C75C2">
        <w:rPr>
          <w:rFonts w:asciiTheme="majorBidi" w:hAnsiTheme="majorBidi" w:cstheme="majorBidi"/>
          <w:color w:val="000000" w:themeColor="text1"/>
          <w:sz w:val="22"/>
          <w:szCs w:val="22"/>
        </w:rPr>
        <w:t xml:space="preserve">of </w:t>
      </w:r>
      <w:r w:rsidR="00134A1E" w:rsidRPr="003C75C2">
        <w:rPr>
          <w:rFonts w:asciiTheme="majorBidi" w:hAnsiTheme="majorBidi" w:cstheme="majorBidi"/>
          <w:color w:val="000000" w:themeColor="text1"/>
          <w:sz w:val="22"/>
          <w:szCs w:val="22"/>
        </w:rPr>
        <w:t>ICT</w:t>
      </w:r>
      <w:r w:rsidR="00CE2F6E" w:rsidRPr="003C75C2">
        <w:rPr>
          <w:rFonts w:asciiTheme="majorBidi" w:hAnsiTheme="majorBidi" w:cstheme="majorBidi"/>
          <w:color w:val="000000" w:themeColor="text1"/>
          <w:sz w:val="22"/>
          <w:szCs w:val="22"/>
        </w:rPr>
        <w:t xml:space="preserve"> products</w:t>
      </w:r>
      <w:r w:rsidR="005F19F0" w:rsidRPr="003C75C2">
        <w:rPr>
          <w:rFonts w:asciiTheme="majorBidi" w:hAnsiTheme="majorBidi" w:cstheme="majorBidi"/>
          <w:color w:val="000000" w:themeColor="text1"/>
          <w:sz w:val="22"/>
          <w:szCs w:val="22"/>
        </w:rPr>
        <w:t xml:space="preserve"> and services</w:t>
      </w:r>
      <w:r w:rsidR="00D06517">
        <w:rPr>
          <w:rFonts w:asciiTheme="majorBidi" w:hAnsiTheme="majorBidi" w:cstheme="majorBidi"/>
          <w:color w:val="000000" w:themeColor="text1"/>
          <w:sz w:val="22"/>
          <w:szCs w:val="22"/>
        </w:rPr>
        <w:t xml:space="preserve"> which </w:t>
      </w:r>
      <w:r w:rsidR="00417B65">
        <w:rPr>
          <w:rFonts w:asciiTheme="majorBidi" w:hAnsiTheme="majorBidi" w:cstheme="majorBidi"/>
          <w:color w:val="000000" w:themeColor="text1"/>
          <w:sz w:val="22"/>
          <w:szCs w:val="22"/>
        </w:rPr>
        <w:t>constitute</w:t>
      </w:r>
      <w:r w:rsidR="00D06517">
        <w:rPr>
          <w:rFonts w:asciiTheme="majorBidi" w:hAnsiTheme="majorBidi" w:cstheme="majorBidi"/>
          <w:color w:val="000000" w:themeColor="text1"/>
          <w:sz w:val="22"/>
          <w:szCs w:val="22"/>
        </w:rPr>
        <w:t xml:space="preserve"> </w:t>
      </w:r>
      <w:r w:rsidR="00417B65" w:rsidRPr="00417B65">
        <w:rPr>
          <w:rFonts w:asciiTheme="majorBidi" w:hAnsiTheme="majorBidi" w:cstheme="majorBidi"/>
          <w:color w:val="000000" w:themeColor="text1"/>
          <w:sz w:val="22"/>
          <w:szCs w:val="22"/>
        </w:rPr>
        <w:t>4.5%</w:t>
      </w:r>
      <w:r w:rsidR="00D06517">
        <w:rPr>
          <w:rFonts w:asciiTheme="majorBidi" w:hAnsiTheme="majorBidi" w:cstheme="majorBidi"/>
          <w:color w:val="000000" w:themeColor="text1"/>
          <w:sz w:val="22"/>
          <w:szCs w:val="22"/>
        </w:rPr>
        <w:t xml:space="preserve"> of the total imports of Palestine, while</w:t>
      </w:r>
      <w:r w:rsidR="005F19F0" w:rsidRPr="003C75C2">
        <w:rPr>
          <w:rFonts w:asciiTheme="majorBidi" w:hAnsiTheme="majorBidi" w:cstheme="majorBidi"/>
          <w:color w:val="000000" w:themeColor="text1"/>
          <w:sz w:val="22"/>
          <w:szCs w:val="22"/>
        </w:rPr>
        <w:t xml:space="preserve"> export</w:t>
      </w:r>
      <w:r w:rsidR="00D06517">
        <w:rPr>
          <w:rFonts w:asciiTheme="majorBidi" w:hAnsiTheme="majorBidi" w:cstheme="majorBidi"/>
          <w:color w:val="000000" w:themeColor="text1"/>
          <w:sz w:val="22"/>
          <w:szCs w:val="22"/>
        </w:rPr>
        <w:t>ed</w:t>
      </w:r>
      <w:r w:rsidR="005F19F0" w:rsidRPr="003C75C2">
        <w:rPr>
          <w:rFonts w:asciiTheme="majorBidi" w:hAnsiTheme="majorBidi" w:cstheme="majorBidi"/>
          <w:color w:val="000000" w:themeColor="text1"/>
          <w:sz w:val="22"/>
          <w:szCs w:val="22"/>
        </w:rPr>
        <w:t xml:space="preserve"> of </w:t>
      </w:r>
      <w:r w:rsidR="00134A1E" w:rsidRPr="003C75C2">
        <w:rPr>
          <w:rFonts w:asciiTheme="majorBidi" w:hAnsiTheme="majorBidi" w:cstheme="majorBidi"/>
          <w:color w:val="000000" w:themeColor="text1"/>
          <w:sz w:val="22"/>
          <w:szCs w:val="22"/>
        </w:rPr>
        <w:t>ICT</w:t>
      </w:r>
      <w:r w:rsidR="005F19F0" w:rsidRPr="003C75C2">
        <w:rPr>
          <w:rFonts w:asciiTheme="majorBidi" w:hAnsiTheme="majorBidi" w:cstheme="majorBidi"/>
          <w:color w:val="000000" w:themeColor="text1"/>
          <w:sz w:val="22"/>
          <w:szCs w:val="22"/>
        </w:rPr>
        <w:t xml:space="preserve"> products and services was </w:t>
      </w:r>
      <w:r w:rsidR="004E3A10" w:rsidRPr="003C75C2">
        <w:rPr>
          <w:rFonts w:asciiTheme="majorBidi" w:hAnsiTheme="majorBidi" w:cstheme="majorBidi"/>
          <w:color w:val="000000" w:themeColor="text1"/>
          <w:sz w:val="22"/>
          <w:szCs w:val="22"/>
        </w:rPr>
        <w:t>USD 60 million</w:t>
      </w:r>
      <w:r w:rsidR="00D06517">
        <w:rPr>
          <w:rFonts w:asciiTheme="majorBidi" w:hAnsiTheme="majorBidi" w:cstheme="majorBidi"/>
          <w:color w:val="000000" w:themeColor="text1"/>
          <w:sz w:val="22"/>
          <w:szCs w:val="22"/>
        </w:rPr>
        <w:t xml:space="preserve"> which constitute </w:t>
      </w:r>
      <w:r w:rsidR="00417B65" w:rsidRPr="00417B65">
        <w:rPr>
          <w:rFonts w:asciiTheme="majorBidi" w:hAnsiTheme="majorBidi" w:cstheme="majorBidi"/>
          <w:color w:val="000000" w:themeColor="text1"/>
          <w:sz w:val="22"/>
          <w:szCs w:val="22"/>
        </w:rPr>
        <w:t>5.6%</w:t>
      </w:r>
      <w:r w:rsidR="00D06517">
        <w:rPr>
          <w:rFonts w:asciiTheme="majorBidi" w:hAnsiTheme="majorBidi" w:cstheme="majorBidi"/>
          <w:color w:val="000000" w:themeColor="text1"/>
          <w:sz w:val="22"/>
          <w:szCs w:val="22"/>
        </w:rPr>
        <w:t xml:space="preserve"> of total export</w:t>
      </w:r>
      <w:r w:rsidR="004E3A10" w:rsidRPr="003C75C2">
        <w:rPr>
          <w:rFonts w:asciiTheme="majorBidi" w:hAnsiTheme="majorBidi" w:cstheme="majorBidi"/>
          <w:color w:val="000000" w:themeColor="text1"/>
          <w:sz w:val="22"/>
          <w:szCs w:val="22"/>
        </w:rPr>
        <w:t xml:space="preserve">.  </w:t>
      </w:r>
      <w:r w:rsidR="00134A1E" w:rsidRPr="003C75C2">
        <w:rPr>
          <w:rFonts w:asciiTheme="majorBidi" w:hAnsiTheme="majorBidi" w:cstheme="majorBidi"/>
          <w:color w:val="000000" w:themeColor="text1"/>
          <w:sz w:val="22"/>
          <w:szCs w:val="22"/>
        </w:rPr>
        <w:t>ICT</w:t>
      </w:r>
      <w:r w:rsidR="004E3A10" w:rsidRPr="003C75C2">
        <w:rPr>
          <w:rFonts w:asciiTheme="majorBidi" w:hAnsiTheme="majorBidi" w:cstheme="majorBidi"/>
          <w:color w:val="000000" w:themeColor="text1"/>
          <w:sz w:val="22"/>
          <w:szCs w:val="22"/>
        </w:rPr>
        <w:t xml:space="preserve"> tr</w:t>
      </w:r>
      <w:r w:rsidR="00315066">
        <w:rPr>
          <w:rFonts w:asciiTheme="majorBidi" w:hAnsiTheme="majorBidi" w:cstheme="majorBidi"/>
          <w:color w:val="000000" w:themeColor="text1"/>
          <w:sz w:val="22"/>
          <w:szCs w:val="22"/>
        </w:rPr>
        <w:t xml:space="preserve">ade deficit was USD 200 million </w:t>
      </w:r>
      <w:r w:rsidR="00D06517">
        <w:rPr>
          <w:rFonts w:asciiTheme="majorBidi" w:hAnsiTheme="majorBidi" w:cstheme="majorBidi"/>
          <w:color w:val="000000" w:themeColor="text1"/>
          <w:sz w:val="22"/>
          <w:szCs w:val="22"/>
        </w:rPr>
        <w:t xml:space="preserve"> in 2017 </w:t>
      </w:r>
      <w:r w:rsidR="00315066">
        <w:rPr>
          <w:rFonts w:asciiTheme="majorBidi" w:hAnsiTheme="majorBidi" w:cstheme="majorBidi"/>
          <w:color w:val="000000" w:themeColor="text1"/>
          <w:sz w:val="22"/>
          <w:szCs w:val="22"/>
        </w:rPr>
        <w:t xml:space="preserve">as in the </w:t>
      </w:r>
      <w:r w:rsidR="00D06517">
        <w:rPr>
          <w:rFonts w:asciiTheme="majorBidi" w:hAnsiTheme="majorBidi" w:cstheme="majorBidi"/>
          <w:color w:val="000000" w:themeColor="text1"/>
          <w:sz w:val="22"/>
          <w:szCs w:val="22"/>
        </w:rPr>
        <w:t xml:space="preserve">figure </w:t>
      </w:r>
      <w:r w:rsidR="00315066">
        <w:rPr>
          <w:rFonts w:asciiTheme="majorBidi" w:hAnsiTheme="majorBidi" w:cstheme="majorBidi"/>
          <w:color w:val="000000" w:themeColor="text1"/>
          <w:sz w:val="22"/>
          <w:szCs w:val="22"/>
        </w:rPr>
        <w:t>below</w:t>
      </w:r>
      <w:r w:rsidR="00654210">
        <w:rPr>
          <w:rFonts w:asciiTheme="majorBidi" w:hAnsiTheme="majorBidi" w:cstheme="majorBidi"/>
          <w:color w:val="000000" w:themeColor="text1"/>
          <w:sz w:val="22"/>
          <w:szCs w:val="22"/>
        </w:rPr>
        <w:t>:</w:t>
      </w:r>
    </w:p>
    <w:p w:rsidR="00A42D00" w:rsidRPr="00AF1917" w:rsidRDefault="00315066" w:rsidP="00CD035B">
      <w:pPr>
        <w:pStyle w:val="BodyText2"/>
        <w:bidi w:val="0"/>
        <w:jc w:val="center"/>
        <w:rPr>
          <w:rFonts w:asciiTheme="majorBidi" w:hAnsiTheme="majorBidi" w:cstheme="majorBidi"/>
          <w:b/>
          <w:bCs/>
          <w:color w:val="000000" w:themeColor="text1"/>
          <w:sz w:val="20"/>
          <w:szCs w:val="20"/>
        </w:rPr>
      </w:pPr>
      <w:r w:rsidRPr="00AF1917">
        <w:rPr>
          <w:rFonts w:asciiTheme="majorBidi" w:hAnsiTheme="majorBidi" w:cstheme="majorBidi"/>
          <w:b/>
          <w:bCs/>
          <w:color w:val="000000" w:themeColor="text1"/>
          <w:sz w:val="20"/>
          <w:szCs w:val="20"/>
        </w:rPr>
        <w:t>Fig (1): I</w:t>
      </w:r>
      <w:r w:rsidR="006E600C" w:rsidRPr="00AF1917">
        <w:rPr>
          <w:rFonts w:asciiTheme="majorBidi" w:hAnsiTheme="majorBidi" w:cstheme="majorBidi"/>
          <w:b/>
          <w:bCs/>
          <w:color w:val="000000" w:themeColor="text1"/>
          <w:sz w:val="20"/>
          <w:szCs w:val="20"/>
        </w:rPr>
        <w:t xml:space="preserve">mport, Export  and Trade Deficit of </w:t>
      </w:r>
      <w:r w:rsidR="00134A1E" w:rsidRPr="00AF1917">
        <w:rPr>
          <w:rFonts w:asciiTheme="majorBidi" w:hAnsiTheme="majorBidi" w:cstheme="majorBidi"/>
          <w:b/>
          <w:bCs/>
          <w:color w:val="000000" w:themeColor="text1"/>
          <w:sz w:val="20"/>
          <w:szCs w:val="20"/>
        </w:rPr>
        <w:t>ICT</w:t>
      </w:r>
      <w:r w:rsidR="006E600C" w:rsidRPr="00AF1917">
        <w:rPr>
          <w:rFonts w:asciiTheme="majorBidi" w:hAnsiTheme="majorBidi" w:cstheme="majorBidi"/>
          <w:b/>
          <w:bCs/>
          <w:color w:val="000000" w:themeColor="text1"/>
          <w:sz w:val="20"/>
          <w:szCs w:val="20"/>
        </w:rPr>
        <w:t xml:space="preserve"> products and services in Palestine</w:t>
      </w:r>
      <w:r w:rsidR="00817C30" w:rsidRPr="00AF1917">
        <w:rPr>
          <w:rFonts w:asciiTheme="majorBidi" w:hAnsiTheme="majorBidi" w:cstheme="majorBidi"/>
          <w:b/>
          <w:bCs/>
          <w:color w:val="000000" w:themeColor="text1"/>
          <w:sz w:val="20"/>
          <w:szCs w:val="20"/>
        </w:rPr>
        <w:t>*</w:t>
      </w:r>
      <w:r w:rsidR="006E600C" w:rsidRPr="00AF1917">
        <w:rPr>
          <w:rFonts w:asciiTheme="majorBidi" w:hAnsiTheme="majorBidi" w:cstheme="majorBidi"/>
          <w:b/>
          <w:bCs/>
          <w:color w:val="000000" w:themeColor="text1"/>
          <w:sz w:val="20"/>
          <w:szCs w:val="20"/>
        </w:rPr>
        <w:t>, 2017</w:t>
      </w:r>
      <w:r w:rsidR="00AF1917" w:rsidRPr="00AF1917">
        <w:rPr>
          <w:rFonts w:asciiTheme="majorBidi" w:hAnsiTheme="majorBidi" w:cstheme="majorBidi"/>
          <w:b/>
          <w:bCs/>
          <w:color w:val="000000" w:themeColor="text1"/>
          <w:sz w:val="20"/>
          <w:szCs w:val="20"/>
        </w:rPr>
        <w:t>[3]</w:t>
      </w:r>
    </w:p>
    <w:p w:rsidR="004E3A10" w:rsidRPr="0013535B" w:rsidRDefault="004E3A10" w:rsidP="00CD035B">
      <w:pPr>
        <w:pStyle w:val="BodyText2"/>
        <w:bidi w:val="0"/>
        <w:jc w:val="center"/>
        <w:rPr>
          <w:rFonts w:asciiTheme="majorBidi" w:hAnsiTheme="majorBidi" w:cstheme="majorBidi"/>
          <w:color w:val="000000" w:themeColor="text1"/>
          <w:sz w:val="22"/>
          <w:szCs w:val="22"/>
        </w:rPr>
      </w:pPr>
      <w:r w:rsidRPr="0013535B">
        <w:rPr>
          <w:rFonts w:asciiTheme="majorBidi" w:hAnsiTheme="majorBidi" w:cstheme="majorBidi"/>
          <w:noProof/>
          <w:color w:val="000000" w:themeColor="text1"/>
          <w:sz w:val="22"/>
          <w:szCs w:val="22"/>
          <w:lang w:eastAsia="en-US"/>
        </w:rPr>
        <w:drawing>
          <wp:inline distT="0" distB="0" distL="0" distR="0">
            <wp:extent cx="3771900" cy="187642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6740" w:rsidRPr="005912CF" w:rsidRDefault="00817C30" w:rsidP="005912CF">
      <w:pPr>
        <w:pStyle w:val="BodyText2"/>
        <w:bidi w:val="0"/>
        <w:jc w:val="center"/>
        <w:rPr>
          <w:rFonts w:asciiTheme="majorBidi" w:hAnsiTheme="majorBidi" w:cstheme="majorBidi"/>
          <w:color w:val="000000" w:themeColor="text1"/>
          <w:sz w:val="22"/>
          <w:szCs w:val="22"/>
        </w:rPr>
      </w:pPr>
      <w:r w:rsidRPr="0013535B">
        <w:rPr>
          <w:rFonts w:asciiTheme="majorBidi" w:hAnsiTheme="majorBidi" w:cstheme="majorBidi"/>
          <w:sz w:val="22"/>
          <w:szCs w:val="22"/>
        </w:rPr>
        <w:t>* Data excluded those parts of Jerusalem which were annexed by Israeli Occupation in 1967.</w:t>
      </w:r>
    </w:p>
    <w:p w:rsidR="00581FDB" w:rsidRPr="0013535B" w:rsidRDefault="003A1EC7" w:rsidP="00423D2B">
      <w:pPr>
        <w:pStyle w:val="BodyText2"/>
        <w:bidi w:val="0"/>
        <w:jc w:val="both"/>
        <w:rPr>
          <w:rFonts w:asciiTheme="majorBidi" w:hAnsiTheme="majorBidi" w:cstheme="majorBidi"/>
          <w:b/>
          <w:bCs/>
          <w:color w:val="000000" w:themeColor="text1"/>
          <w:sz w:val="22"/>
          <w:szCs w:val="22"/>
        </w:rPr>
      </w:pPr>
      <w:r w:rsidRPr="0013535B">
        <w:rPr>
          <w:rFonts w:asciiTheme="majorBidi" w:hAnsiTheme="majorBidi" w:cstheme="majorBidi"/>
          <w:b/>
          <w:bCs/>
          <w:color w:val="000000" w:themeColor="text1"/>
          <w:sz w:val="22"/>
          <w:szCs w:val="22"/>
        </w:rPr>
        <w:t xml:space="preserve">3.2 Main Economic Indicators for </w:t>
      </w:r>
      <w:r w:rsidR="00134A1E" w:rsidRPr="0013535B">
        <w:rPr>
          <w:rFonts w:asciiTheme="majorBidi" w:hAnsiTheme="majorBidi" w:cstheme="majorBidi"/>
          <w:b/>
          <w:bCs/>
          <w:color w:val="000000" w:themeColor="text1"/>
          <w:sz w:val="22"/>
          <w:szCs w:val="22"/>
        </w:rPr>
        <w:t>ICT</w:t>
      </w:r>
      <w:r w:rsidRPr="0013535B">
        <w:rPr>
          <w:rFonts w:asciiTheme="majorBidi" w:hAnsiTheme="majorBidi" w:cstheme="majorBidi"/>
          <w:b/>
          <w:bCs/>
          <w:color w:val="000000" w:themeColor="text1"/>
          <w:sz w:val="22"/>
          <w:szCs w:val="22"/>
        </w:rPr>
        <w:t xml:space="preserve"> activities</w:t>
      </w:r>
    </w:p>
    <w:p w:rsidR="000F30B6" w:rsidRPr="0013535B" w:rsidRDefault="00490290" w:rsidP="00E1753F">
      <w:pPr>
        <w:pStyle w:val="BodyText2"/>
        <w:bidi w:val="0"/>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Economic surveys series implemented annually by PCBS for the enterprises of the private sector.  T</w:t>
      </w:r>
      <w:r w:rsidR="003A1EC7" w:rsidRPr="0013535B">
        <w:rPr>
          <w:rFonts w:asciiTheme="majorBidi" w:hAnsiTheme="majorBidi" w:cstheme="majorBidi"/>
          <w:color w:val="000000" w:themeColor="text1"/>
          <w:sz w:val="22"/>
          <w:szCs w:val="22"/>
        </w:rPr>
        <w:t>he results of economic surveys</w:t>
      </w:r>
      <w:r>
        <w:rPr>
          <w:rFonts w:asciiTheme="majorBidi" w:hAnsiTheme="majorBidi" w:cstheme="majorBidi"/>
          <w:color w:val="000000" w:themeColor="text1"/>
          <w:sz w:val="22"/>
          <w:szCs w:val="22"/>
        </w:rPr>
        <w:t xml:space="preserve"> </w:t>
      </w:r>
      <w:r w:rsidR="004573B9">
        <w:rPr>
          <w:rFonts w:asciiTheme="majorBidi" w:hAnsiTheme="majorBidi" w:cstheme="majorBidi"/>
          <w:color w:val="000000" w:themeColor="text1"/>
          <w:sz w:val="22"/>
          <w:szCs w:val="22"/>
        </w:rPr>
        <w:t>show</w:t>
      </w:r>
      <w:r w:rsidR="00E1753F">
        <w:rPr>
          <w:rFonts w:asciiTheme="majorBidi" w:hAnsiTheme="majorBidi" w:cstheme="majorBidi"/>
          <w:color w:val="000000" w:themeColor="text1"/>
          <w:sz w:val="22"/>
          <w:szCs w:val="22"/>
        </w:rPr>
        <w:t xml:space="preserve"> the data of </w:t>
      </w:r>
      <w:r w:rsidR="003A1EC7" w:rsidRPr="0013535B">
        <w:rPr>
          <w:rFonts w:asciiTheme="majorBidi" w:hAnsiTheme="majorBidi" w:cstheme="majorBidi"/>
          <w:color w:val="000000" w:themeColor="text1"/>
          <w:sz w:val="22"/>
          <w:szCs w:val="22"/>
        </w:rPr>
        <w:t xml:space="preserve">the </w:t>
      </w:r>
      <w:r w:rsidR="00E1753F">
        <w:rPr>
          <w:rFonts w:asciiTheme="majorBidi" w:hAnsiTheme="majorBidi" w:cstheme="majorBidi"/>
          <w:color w:val="000000" w:themeColor="text1"/>
          <w:sz w:val="22"/>
          <w:szCs w:val="22"/>
        </w:rPr>
        <w:t>main economic indicators</w:t>
      </w:r>
      <w:r w:rsidR="003A1EC7" w:rsidRPr="0013535B">
        <w:rPr>
          <w:rFonts w:asciiTheme="majorBidi" w:hAnsiTheme="majorBidi" w:cstheme="majorBidi"/>
          <w:color w:val="000000" w:themeColor="text1"/>
          <w:sz w:val="22"/>
          <w:szCs w:val="22"/>
        </w:rPr>
        <w:t xml:space="preserve"> of </w:t>
      </w:r>
      <w:r w:rsidR="00134A1E" w:rsidRPr="0013535B">
        <w:rPr>
          <w:rFonts w:asciiTheme="majorBidi" w:hAnsiTheme="majorBidi" w:cstheme="majorBidi"/>
          <w:color w:val="000000" w:themeColor="text1"/>
          <w:sz w:val="22"/>
          <w:szCs w:val="22"/>
        </w:rPr>
        <w:t>ICT</w:t>
      </w:r>
      <w:r w:rsidR="003A1EC7" w:rsidRPr="0013535B">
        <w:rPr>
          <w:rFonts w:asciiTheme="majorBidi" w:hAnsiTheme="majorBidi" w:cstheme="majorBidi"/>
          <w:color w:val="000000" w:themeColor="text1"/>
          <w:sz w:val="22"/>
          <w:szCs w:val="22"/>
        </w:rPr>
        <w:t xml:space="preserve"> </w:t>
      </w:r>
      <w:r w:rsidR="008667E7" w:rsidRPr="0013535B">
        <w:rPr>
          <w:rFonts w:asciiTheme="majorBidi" w:hAnsiTheme="majorBidi" w:cstheme="majorBidi"/>
          <w:color w:val="000000" w:themeColor="text1"/>
          <w:sz w:val="22"/>
          <w:szCs w:val="22"/>
        </w:rPr>
        <w:t xml:space="preserve">specific and related </w:t>
      </w:r>
      <w:r w:rsidR="003A1EC7" w:rsidRPr="0013535B">
        <w:rPr>
          <w:rFonts w:asciiTheme="majorBidi" w:hAnsiTheme="majorBidi" w:cstheme="majorBidi"/>
          <w:color w:val="000000" w:themeColor="text1"/>
          <w:sz w:val="22"/>
          <w:szCs w:val="22"/>
        </w:rPr>
        <w:t>activities</w:t>
      </w:r>
      <w:r w:rsidR="00E1753F">
        <w:rPr>
          <w:rFonts w:asciiTheme="majorBidi" w:hAnsiTheme="majorBidi" w:cstheme="majorBidi"/>
          <w:color w:val="000000" w:themeColor="text1"/>
          <w:sz w:val="22"/>
          <w:szCs w:val="22"/>
        </w:rPr>
        <w:t xml:space="preserve"> for the year 2017</w:t>
      </w:r>
      <w:r w:rsidR="003A1EC7" w:rsidRPr="0013535B">
        <w:rPr>
          <w:rFonts w:asciiTheme="majorBidi" w:hAnsiTheme="majorBidi" w:cstheme="majorBidi"/>
          <w:color w:val="000000" w:themeColor="text1"/>
          <w:sz w:val="22"/>
          <w:szCs w:val="22"/>
        </w:rPr>
        <w:t xml:space="preserve"> </w:t>
      </w:r>
      <w:r w:rsidR="00E1753F">
        <w:rPr>
          <w:rFonts w:asciiTheme="majorBidi" w:hAnsiTheme="majorBidi" w:cstheme="majorBidi"/>
          <w:color w:val="000000" w:themeColor="text1"/>
          <w:sz w:val="22"/>
          <w:szCs w:val="22"/>
        </w:rPr>
        <w:t xml:space="preserve">were as </w:t>
      </w:r>
      <w:r w:rsidR="002A6109" w:rsidRPr="0013535B">
        <w:rPr>
          <w:rFonts w:asciiTheme="majorBidi" w:hAnsiTheme="majorBidi" w:cstheme="majorBidi"/>
          <w:color w:val="000000" w:themeColor="text1"/>
          <w:sz w:val="22"/>
          <w:szCs w:val="22"/>
        </w:rPr>
        <w:t xml:space="preserve"> in the table below:</w:t>
      </w:r>
      <w:r w:rsidR="000F30B6" w:rsidRPr="0013535B">
        <w:rPr>
          <w:rFonts w:asciiTheme="majorBidi" w:hAnsiTheme="majorBidi" w:cstheme="majorBidi"/>
          <w:color w:val="000000" w:themeColor="text1"/>
          <w:sz w:val="22"/>
          <w:szCs w:val="22"/>
        </w:rPr>
        <w:t xml:space="preserve">                                                               </w:t>
      </w:r>
    </w:p>
    <w:tbl>
      <w:tblPr>
        <w:tblStyle w:val="TableGrid"/>
        <w:tblpPr w:leftFromText="180" w:rightFromText="180" w:vertAnchor="text" w:horzAnchor="margin" w:tblpY="138"/>
        <w:tblW w:w="10062" w:type="dxa"/>
        <w:tblLook w:val="04A0"/>
      </w:tblPr>
      <w:tblGrid>
        <w:gridCol w:w="3521"/>
        <w:gridCol w:w="1137"/>
        <w:gridCol w:w="1551"/>
        <w:gridCol w:w="1578"/>
        <w:gridCol w:w="995"/>
        <w:gridCol w:w="1280"/>
      </w:tblGrid>
      <w:tr w:rsidR="00E1753F" w:rsidRPr="0013535B" w:rsidTr="00057465">
        <w:trPr>
          <w:trHeight w:val="237"/>
        </w:trPr>
        <w:tc>
          <w:tcPr>
            <w:tcW w:w="10061" w:type="dxa"/>
            <w:gridSpan w:val="6"/>
            <w:tcBorders>
              <w:top w:val="nil"/>
              <w:left w:val="nil"/>
              <w:bottom w:val="nil"/>
              <w:right w:val="nil"/>
            </w:tcBorders>
          </w:tcPr>
          <w:p w:rsidR="00E1753F" w:rsidRPr="00545610" w:rsidRDefault="00E1753F" w:rsidP="00297A19">
            <w:pPr>
              <w:jc w:val="center"/>
              <w:rPr>
                <w:rFonts w:asciiTheme="majorBidi" w:hAnsiTheme="majorBidi" w:cstheme="majorBidi"/>
                <w:b/>
                <w:bCs/>
                <w:color w:val="000000" w:themeColor="text1"/>
                <w:sz w:val="20"/>
                <w:szCs w:val="20"/>
              </w:rPr>
            </w:pPr>
            <w:r w:rsidRPr="00545610">
              <w:rPr>
                <w:rFonts w:asciiTheme="majorBidi" w:hAnsiTheme="majorBidi" w:cstheme="majorBidi"/>
                <w:b/>
                <w:bCs/>
                <w:color w:val="000000" w:themeColor="text1"/>
                <w:sz w:val="20"/>
                <w:szCs w:val="20"/>
              </w:rPr>
              <w:t>Table 2:</w:t>
            </w:r>
            <w:r w:rsidRPr="00545610">
              <w:rPr>
                <w:rFonts w:asciiTheme="majorBidi" w:hAnsiTheme="majorBidi" w:cstheme="majorBidi"/>
                <w:color w:val="000000" w:themeColor="text1"/>
                <w:sz w:val="20"/>
                <w:szCs w:val="20"/>
              </w:rPr>
              <w:t xml:space="preserve"> </w:t>
            </w:r>
            <w:r w:rsidRPr="00545610">
              <w:rPr>
                <w:rFonts w:asciiTheme="majorBidi" w:eastAsia="Times New Roman" w:hAnsiTheme="majorBidi" w:cstheme="majorBidi"/>
                <w:b/>
                <w:bCs/>
                <w:color w:val="000000" w:themeColor="text1"/>
                <w:sz w:val="20"/>
                <w:szCs w:val="20"/>
                <w:lang w:eastAsia="ar-SA"/>
              </w:rPr>
              <w:t>Main Economic Indicators for ICT  Specific and Related Activities in Palestine*, 2017</w:t>
            </w:r>
            <w:r w:rsidR="00545610">
              <w:rPr>
                <w:rFonts w:asciiTheme="majorBidi" w:eastAsia="Times New Roman" w:hAnsiTheme="majorBidi" w:cstheme="majorBidi"/>
                <w:b/>
                <w:bCs/>
                <w:color w:val="000000" w:themeColor="text1"/>
                <w:sz w:val="20"/>
                <w:szCs w:val="20"/>
                <w:lang w:eastAsia="ar-SA"/>
              </w:rPr>
              <w:t xml:space="preserve"> </w:t>
            </w:r>
            <w:r w:rsidR="00FD743A" w:rsidRPr="00545610">
              <w:rPr>
                <w:rFonts w:asciiTheme="majorBidi" w:hAnsiTheme="majorBidi" w:cstheme="majorBidi"/>
                <w:b/>
                <w:bCs/>
                <w:color w:val="000000" w:themeColor="text1"/>
                <w:sz w:val="20"/>
                <w:szCs w:val="20"/>
              </w:rPr>
              <w:t>[</w:t>
            </w:r>
            <w:r w:rsidR="00297A19">
              <w:rPr>
                <w:rFonts w:asciiTheme="majorBidi" w:hAnsiTheme="majorBidi" w:cstheme="majorBidi"/>
                <w:b/>
                <w:bCs/>
                <w:color w:val="000000" w:themeColor="text1"/>
                <w:sz w:val="20"/>
                <w:szCs w:val="20"/>
              </w:rPr>
              <w:t>4</w:t>
            </w:r>
            <w:r w:rsidR="00FD743A" w:rsidRPr="00545610">
              <w:rPr>
                <w:rFonts w:asciiTheme="majorBidi" w:hAnsiTheme="majorBidi" w:cstheme="majorBidi"/>
                <w:b/>
                <w:bCs/>
                <w:color w:val="000000" w:themeColor="text1"/>
                <w:sz w:val="20"/>
                <w:szCs w:val="20"/>
              </w:rPr>
              <w:t>]</w:t>
            </w:r>
          </w:p>
        </w:tc>
      </w:tr>
      <w:tr w:rsidR="00E1753F" w:rsidRPr="0013535B" w:rsidTr="00057465">
        <w:trPr>
          <w:trHeight w:val="222"/>
        </w:trPr>
        <w:tc>
          <w:tcPr>
            <w:tcW w:w="10061" w:type="dxa"/>
            <w:gridSpan w:val="6"/>
            <w:tcBorders>
              <w:top w:val="nil"/>
              <w:left w:val="nil"/>
              <w:bottom w:val="single" w:sz="4" w:space="0" w:color="auto"/>
              <w:right w:val="nil"/>
            </w:tcBorders>
          </w:tcPr>
          <w:p w:rsidR="00E1753F" w:rsidRPr="00545610" w:rsidRDefault="00E1753F" w:rsidP="00E05333">
            <w:pPr>
              <w:jc w:val="right"/>
              <w:rPr>
                <w:rFonts w:asciiTheme="majorBidi" w:eastAsia="Times New Roman" w:hAnsiTheme="majorBidi" w:cstheme="majorBidi"/>
                <w:b/>
                <w:bCs/>
                <w:sz w:val="20"/>
                <w:szCs w:val="20"/>
                <w:lang w:eastAsia="ar-SA"/>
              </w:rPr>
            </w:pPr>
            <w:r w:rsidRPr="00545610">
              <w:rPr>
                <w:rFonts w:asciiTheme="majorBidi" w:hAnsiTheme="majorBidi" w:cstheme="majorBidi"/>
                <w:b/>
                <w:bCs/>
                <w:color w:val="000000" w:themeColor="text1"/>
                <w:sz w:val="20"/>
                <w:szCs w:val="20"/>
              </w:rPr>
              <w:t xml:space="preserve">(Value in </w:t>
            </w:r>
            <w:r w:rsidR="004573B9">
              <w:rPr>
                <w:rFonts w:asciiTheme="majorBidi" w:hAnsiTheme="majorBidi" w:cstheme="majorBidi"/>
                <w:b/>
                <w:bCs/>
                <w:color w:val="000000" w:themeColor="text1"/>
                <w:sz w:val="20"/>
                <w:szCs w:val="20"/>
              </w:rPr>
              <w:t xml:space="preserve">1000 </w:t>
            </w:r>
            <w:r w:rsidRPr="00545610">
              <w:rPr>
                <w:rFonts w:asciiTheme="majorBidi" w:hAnsiTheme="majorBidi" w:cstheme="majorBidi"/>
                <w:b/>
                <w:bCs/>
                <w:color w:val="000000" w:themeColor="text1"/>
                <w:sz w:val="20"/>
                <w:szCs w:val="20"/>
              </w:rPr>
              <w:t>USD)</w:t>
            </w:r>
          </w:p>
        </w:tc>
      </w:tr>
      <w:tr w:rsidR="00E1753F" w:rsidRPr="0013535B" w:rsidTr="00057465">
        <w:trPr>
          <w:trHeight w:val="523"/>
        </w:trPr>
        <w:tc>
          <w:tcPr>
            <w:tcW w:w="3521" w:type="dxa"/>
            <w:tcBorders>
              <w:top w:val="single" w:sz="4" w:space="0" w:color="auto"/>
            </w:tcBorders>
          </w:tcPr>
          <w:p w:rsidR="00E1753F" w:rsidRPr="0013535B" w:rsidRDefault="00E1753F" w:rsidP="00E1753F">
            <w:pPr>
              <w:jc w:val="both"/>
              <w:rPr>
                <w:rFonts w:asciiTheme="majorBidi" w:eastAsia="Times New Roman" w:hAnsiTheme="majorBidi" w:cstheme="majorBidi"/>
                <w:b/>
                <w:bCs/>
                <w:lang w:eastAsia="ar-SA"/>
              </w:rPr>
            </w:pPr>
            <w:r w:rsidRPr="0013535B">
              <w:rPr>
                <w:rFonts w:asciiTheme="majorBidi" w:eastAsia="Times New Roman" w:hAnsiTheme="majorBidi" w:cstheme="majorBidi"/>
                <w:b/>
                <w:bCs/>
                <w:lang w:eastAsia="ar-SA"/>
              </w:rPr>
              <w:t>ICT Specific Activity</w:t>
            </w:r>
          </w:p>
        </w:tc>
        <w:tc>
          <w:tcPr>
            <w:tcW w:w="1137" w:type="dxa"/>
            <w:tcBorders>
              <w:top w:val="single" w:sz="4" w:space="0" w:color="auto"/>
            </w:tcBorders>
          </w:tcPr>
          <w:p w:rsidR="00E1753F" w:rsidRPr="0013535B" w:rsidRDefault="00E1753F" w:rsidP="00E1753F">
            <w:pPr>
              <w:jc w:val="both"/>
              <w:rPr>
                <w:rFonts w:asciiTheme="majorBidi" w:eastAsia="Times New Roman" w:hAnsiTheme="majorBidi" w:cstheme="majorBidi"/>
                <w:b/>
                <w:bCs/>
                <w:lang w:eastAsia="ar-SA"/>
              </w:rPr>
            </w:pPr>
            <w:r w:rsidRPr="0013535B">
              <w:rPr>
                <w:rFonts w:asciiTheme="majorBidi" w:eastAsia="Times New Roman" w:hAnsiTheme="majorBidi" w:cstheme="majorBidi"/>
                <w:b/>
                <w:bCs/>
                <w:lang w:eastAsia="ar-SA"/>
              </w:rPr>
              <w:t>Out put</w:t>
            </w:r>
          </w:p>
        </w:tc>
        <w:tc>
          <w:tcPr>
            <w:tcW w:w="1551" w:type="dxa"/>
            <w:tcBorders>
              <w:top w:val="single" w:sz="4" w:space="0" w:color="auto"/>
            </w:tcBorders>
          </w:tcPr>
          <w:p w:rsidR="00E1753F" w:rsidRPr="0013535B" w:rsidRDefault="00E1753F" w:rsidP="00E1753F">
            <w:pPr>
              <w:jc w:val="both"/>
              <w:rPr>
                <w:rFonts w:asciiTheme="majorBidi" w:eastAsia="Times New Roman" w:hAnsiTheme="majorBidi" w:cstheme="majorBidi"/>
                <w:b/>
                <w:bCs/>
                <w:lang w:eastAsia="ar-SA"/>
              </w:rPr>
            </w:pPr>
            <w:r w:rsidRPr="0013535B">
              <w:rPr>
                <w:rFonts w:asciiTheme="majorBidi" w:eastAsia="Times New Roman" w:hAnsiTheme="majorBidi" w:cstheme="majorBidi"/>
                <w:b/>
                <w:bCs/>
                <w:lang w:eastAsia="ar-SA"/>
              </w:rPr>
              <w:t>Intermediate Consumption</w:t>
            </w:r>
          </w:p>
        </w:tc>
        <w:tc>
          <w:tcPr>
            <w:tcW w:w="1578" w:type="dxa"/>
            <w:tcBorders>
              <w:top w:val="single" w:sz="4" w:space="0" w:color="auto"/>
            </w:tcBorders>
          </w:tcPr>
          <w:p w:rsidR="00E1753F" w:rsidRPr="0013535B" w:rsidRDefault="00E1753F" w:rsidP="00020BA5">
            <w:pPr>
              <w:jc w:val="both"/>
              <w:rPr>
                <w:rFonts w:asciiTheme="majorBidi" w:eastAsia="Times New Roman" w:hAnsiTheme="majorBidi" w:cstheme="majorBidi"/>
                <w:b/>
                <w:bCs/>
                <w:lang w:eastAsia="ar-SA"/>
              </w:rPr>
            </w:pPr>
            <w:r w:rsidRPr="0013535B">
              <w:rPr>
                <w:rFonts w:asciiTheme="majorBidi" w:eastAsia="Times New Roman" w:hAnsiTheme="majorBidi" w:cstheme="majorBidi"/>
                <w:b/>
                <w:bCs/>
                <w:lang w:eastAsia="ar-SA"/>
              </w:rPr>
              <w:t xml:space="preserve">Compensation of </w:t>
            </w:r>
            <w:r w:rsidR="00020BA5">
              <w:rPr>
                <w:rFonts w:asciiTheme="majorBidi" w:eastAsia="Times New Roman" w:hAnsiTheme="majorBidi" w:cstheme="majorBidi"/>
                <w:b/>
                <w:bCs/>
                <w:lang w:eastAsia="ar-SA"/>
              </w:rPr>
              <w:t>E</w:t>
            </w:r>
            <w:r w:rsidRPr="0013535B">
              <w:rPr>
                <w:rFonts w:asciiTheme="majorBidi" w:eastAsia="Times New Roman" w:hAnsiTheme="majorBidi" w:cstheme="majorBidi"/>
                <w:b/>
                <w:bCs/>
                <w:lang w:eastAsia="ar-SA"/>
              </w:rPr>
              <w:t xml:space="preserve">mployees </w:t>
            </w:r>
          </w:p>
        </w:tc>
        <w:tc>
          <w:tcPr>
            <w:tcW w:w="995" w:type="dxa"/>
            <w:tcBorders>
              <w:top w:val="single" w:sz="4" w:space="0" w:color="auto"/>
            </w:tcBorders>
          </w:tcPr>
          <w:p w:rsidR="00E1753F" w:rsidRPr="0013535B" w:rsidRDefault="00E1753F" w:rsidP="00020BA5">
            <w:pPr>
              <w:jc w:val="both"/>
              <w:rPr>
                <w:rFonts w:asciiTheme="majorBidi" w:eastAsia="Times New Roman" w:hAnsiTheme="majorBidi" w:cstheme="majorBidi"/>
                <w:b/>
                <w:bCs/>
                <w:lang w:eastAsia="ar-SA"/>
              </w:rPr>
            </w:pPr>
            <w:r w:rsidRPr="0013535B">
              <w:rPr>
                <w:rFonts w:asciiTheme="majorBidi" w:eastAsia="Times New Roman" w:hAnsiTheme="majorBidi" w:cstheme="majorBidi"/>
                <w:b/>
                <w:bCs/>
                <w:lang w:eastAsia="ar-SA"/>
              </w:rPr>
              <w:t xml:space="preserve">Value </w:t>
            </w:r>
            <w:r w:rsidR="00020BA5">
              <w:rPr>
                <w:rFonts w:asciiTheme="majorBidi" w:eastAsia="Times New Roman" w:hAnsiTheme="majorBidi" w:cstheme="majorBidi"/>
                <w:b/>
                <w:bCs/>
                <w:lang w:eastAsia="ar-SA"/>
              </w:rPr>
              <w:t>A</w:t>
            </w:r>
            <w:r w:rsidRPr="0013535B">
              <w:rPr>
                <w:rFonts w:asciiTheme="majorBidi" w:eastAsia="Times New Roman" w:hAnsiTheme="majorBidi" w:cstheme="majorBidi"/>
                <w:b/>
                <w:bCs/>
                <w:lang w:eastAsia="ar-SA"/>
              </w:rPr>
              <w:t>dded</w:t>
            </w:r>
          </w:p>
        </w:tc>
        <w:tc>
          <w:tcPr>
            <w:tcW w:w="1280" w:type="dxa"/>
            <w:tcBorders>
              <w:top w:val="single" w:sz="4" w:space="0" w:color="auto"/>
            </w:tcBorders>
          </w:tcPr>
          <w:p w:rsidR="00E1753F" w:rsidRPr="0013535B" w:rsidRDefault="00E1753F" w:rsidP="00E1753F">
            <w:pPr>
              <w:jc w:val="both"/>
              <w:rPr>
                <w:rFonts w:asciiTheme="majorBidi" w:eastAsia="Times New Roman" w:hAnsiTheme="majorBidi" w:cstheme="majorBidi"/>
                <w:b/>
                <w:bCs/>
                <w:lang w:eastAsia="ar-SA"/>
              </w:rPr>
            </w:pPr>
            <w:r w:rsidRPr="0013535B">
              <w:rPr>
                <w:rFonts w:asciiTheme="majorBidi" w:eastAsia="Times New Roman" w:hAnsiTheme="majorBidi" w:cstheme="majorBidi"/>
                <w:b/>
                <w:bCs/>
                <w:lang w:eastAsia="ar-SA"/>
              </w:rPr>
              <w:t>GFCF</w:t>
            </w:r>
          </w:p>
        </w:tc>
      </w:tr>
      <w:tr w:rsidR="00E1753F" w:rsidRPr="0013535B" w:rsidTr="00057465">
        <w:trPr>
          <w:trHeight w:val="237"/>
        </w:trPr>
        <w:tc>
          <w:tcPr>
            <w:tcW w:w="3521" w:type="dxa"/>
          </w:tcPr>
          <w:p w:rsidR="00E1753F" w:rsidRPr="002A41C3" w:rsidRDefault="00E1753F" w:rsidP="00E1753F">
            <w:pPr>
              <w:jc w:val="both"/>
              <w:rPr>
                <w:rFonts w:asciiTheme="majorBidi" w:eastAsia="Times New Roman" w:hAnsiTheme="majorBidi" w:cstheme="majorBidi"/>
                <w:b/>
                <w:bCs/>
                <w:lang w:eastAsia="ar-SA"/>
              </w:rPr>
            </w:pPr>
            <w:r w:rsidRPr="002A41C3">
              <w:rPr>
                <w:rFonts w:asciiTheme="majorBidi" w:eastAsia="Times New Roman" w:hAnsiTheme="majorBidi" w:cstheme="majorBidi"/>
                <w:b/>
                <w:bCs/>
                <w:lang w:eastAsia="ar-SA"/>
              </w:rPr>
              <w:t xml:space="preserve"> ICT manufacturing </w:t>
            </w:r>
          </w:p>
        </w:tc>
        <w:tc>
          <w:tcPr>
            <w:tcW w:w="1137" w:type="dxa"/>
          </w:tcPr>
          <w:p w:rsidR="00E1753F" w:rsidRPr="00035F28" w:rsidRDefault="00E1753F" w:rsidP="00FE09C2">
            <w:pPr>
              <w:jc w:val="center"/>
              <w:rPr>
                <w:rFonts w:asciiTheme="majorBidi" w:eastAsia="Times New Roman" w:hAnsiTheme="majorBidi" w:cstheme="majorBidi"/>
                <w:color w:val="000000" w:themeColor="text1"/>
                <w:lang w:eastAsia="ar-SA"/>
              </w:rPr>
            </w:pPr>
            <w:r w:rsidRPr="00035F28">
              <w:rPr>
                <w:rFonts w:asciiTheme="majorBidi" w:eastAsia="Times New Roman" w:hAnsiTheme="majorBidi" w:cstheme="majorBidi"/>
                <w:color w:val="000000" w:themeColor="text1"/>
                <w:lang w:eastAsia="ar-SA"/>
              </w:rPr>
              <w:t>11,</w:t>
            </w:r>
            <w:r w:rsidR="00371B62" w:rsidRPr="00035F28">
              <w:rPr>
                <w:rFonts w:asciiTheme="majorBidi" w:eastAsia="Times New Roman" w:hAnsiTheme="majorBidi" w:cstheme="majorBidi"/>
                <w:color w:val="000000" w:themeColor="text1"/>
                <w:lang w:eastAsia="ar-SA"/>
              </w:rPr>
              <w:t>829</w:t>
            </w:r>
          </w:p>
        </w:tc>
        <w:tc>
          <w:tcPr>
            <w:tcW w:w="1551" w:type="dxa"/>
          </w:tcPr>
          <w:p w:rsidR="00E1753F" w:rsidRPr="00035F28" w:rsidRDefault="00E1753F" w:rsidP="00FE09C2">
            <w:pPr>
              <w:jc w:val="center"/>
              <w:rPr>
                <w:rFonts w:asciiTheme="majorBidi" w:eastAsia="Times New Roman" w:hAnsiTheme="majorBidi" w:cstheme="majorBidi"/>
                <w:color w:val="000000" w:themeColor="text1"/>
                <w:lang w:eastAsia="ar-SA"/>
              </w:rPr>
            </w:pPr>
            <w:r w:rsidRPr="00035F28">
              <w:rPr>
                <w:rFonts w:asciiTheme="majorBidi" w:eastAsia="Times New Roman" w:hAnsiTheme="majorBidi" w:cstheme="majorBidi"/>
                <w:color w:val="000000" w:themeColor="text1"/>
                <w:lang w:eastAsia="ar-SA"/>
              </w:rPr>
              <w:t>6,</w:t>
            </w:r>
            <w:r w:rsidR="00371B62" w:rsidRPr="00035F28">
              <w:rPr>
                <w:rFonts w:asciiTheme="majorBidi" w:eastAsia="Times New Roman" w:hAnsiTheme="majorBidi" w:cstheme="majorBidi"/>
                <w:color w:val="000000" w:themeColor="text1"/>
                <w:lang w:eastAsia="ar-SA"/>
              </w:rPr>
              <w:t>766</w:t>
            </w:r>
          </w:p>
        </w:tc>
        <w:tc>
          <w:tcPr>
            <w:tcW w:w="1578" w:type="dxa"/>
          </w:tcPr>
          <w:p w:rsidR="00E1753F" w:rsidRPr="00035F28" w:rsidRDefault="00E1753F" w:rsidP="00FE09C2">
            <w:pPr>
              <w:jc w:val="center"/>
              <w:rPr>
                <w:rFonts w:asciiTheme="majorBidi" w:eastAsia="Times New Roman" w:hAnsiTheme="majorBidi" w:cstheme="majorBidi"/>
                <w:color w:val="000000" w:themeColor="text1"/>
                <w:lang w:eastAsia="ar-SA"/>
              </w:rPr>
            </w:pPr>
            <w:r w:rsidRPr="00035F28">
              <w:rPr>
                <w:rFonts w:asciiTheme="majorBidi" w:eastAsia="Times New Roman" w:hAnsiTheme="majorBidi" w:cstheme="majorBidi"/>
                <w:color w:val="000000" w:themeColor="text1"/>
                <w:lang w:eastAsia="ar-SA"/>
              </w:rPr>
              <w:t>1,0</w:t>
            </w:r>
            <w:r w:rsidR="00371B62" w:rsidRPr="00035F28">
              <w:rPr>
                <w:rFonts w:asciiTheme="majorBidi" w:eastAsia="Times New Roman" w:hAnsiTheme="majorBidi" w:cstheme="majorBidi"/>
                <w:color w:val="000000" w:themeColor="text1"/>
                <w:lang w:eastAsia="ar-SA"/>
              </w:rPr>
              <w:t>78</w:t>
            </w:r>
          </w:p>
        </w:tc>
        <w:tc>
          <w:tcPr>
            <w:tcW w:w="995" w:type="dxa"/>
          </w:tcPr>
          <w:p w:rsidR="00E1753F" w:rsidRPr="00035F28" w:rsidRDefault="00371B62" w:rsidP="00FE09C2">
            <w:pPr>
              <w:jc w:val="center"/>
              <w:rPr>
                <w:rFonts w:asciiTheme="majorBidi" w:eastAsia="Times New Roman" w:hAnsiTheme="majorBidi" w:cstheme="majorBidi"/>
                <w:color w:val="000000" w:themeColor="text1"/>
                <w:lang w:eastAsia="ar-SA"/>
              </w:rPr>
            </w:pPr>
            <w:r w:rsidRPr="00035F28">
              <w:rPr>
                <w:rFonts w:asciiTheme="majorBidi" w:eastAsia="Times New Roman" w:hAnsiTheme="majorBidi" w:cstheme="majorBidi"/>
                <w:color w:val="000000" w:themeColor="text1"/>
                <w:lang w:eastAsia="ar-SA"/>
              </w:rPr>
              <w:t>5,063</w:t>
            </w:r>
          </w:p>
        </w:tc>
        <w:tc>
          <w:tcPr>
            <w:tcW w:w="1280" w:type="dxa"/>
          </w:tcPr>
          <w:p w:rsidR="00E1753F" w:rsidRPr="00035F28" w:rsidRDefault="00E1753F" w:rsidP="00FE09C2">
            <w:pPr>
              <w:jc w:val="center"/>
              <w:rPr>
                <w:rFonts w:asciiTheme="majorBidi" w:eastAsia="Times New Roman" w:hAnsiTheme="majorBidi" w:cstheme="majorBidi"/>
                <w:color w:val="000000" w:themeColor="text1"/>
                <w:lang w:eastAsia="ar-SA"/>
              </w:rPr>
            </w:pPr>
            <w:r w:rsidRPr="00035F28">
              <w:rPr>
                <w:rFonts w:asciiTheme="majorBidi" w:eastAsia="Times New Roman" w:hAnsiTheme="majorBidi" w:cstheme="majorBidi"/>
                <w:color w:val="000000" w:themeColor="text1"/>
                <w:lang w:eastAsia="ar-SA"/>
              </w:rPr>
              <w:t>0</w:t>
            </w:r>
          </w:p>
        </w:tc>
      </w:tr>
      <w:tr w:rsidR="005912CF" w:rsidRPr="0013535B" w:rsidTr="00057465">
        <w:trPr>
          <w:trHeight w:val="286"/>
        </w:trPr>
        <w:tc>
          <w:tcPr>
            <w:tcW w:w="3521" w:type="dxa"/>
          </w:tcPr>
          <w:p w:rsidR="005912CF" w:rsidRPr="002A41C3" w:rsidRDefault="005912CF" w:rsidP="00E1753F">
            <w:pPr>
              <w:jc w:val="both"/>
              <w:rPr>
                <w:rFonts w:asciiTheme="majorBidi" w:eastAsia="Times New Roman" w:hAnsiTheme="majorBidi" w:cstheme="majorBidi"/>
                <w:b/>
                <w:bCs/>
                <w:lang w:eastAsia="ar-SA"/>
              </w:rPr>
            </w:pPr>
            <w:r w:rsidRPr="002A41C3">
              <w:rPr>
                <w:rFonts w:asciiTheme="majorBidi" w:eastAsia="Times New Roman" w:hAnsiTheme="majorBidi" w:cstheme="majorBidi"/>
                <w:b/>
                <w:bCs/>
                <w:lang w:eastAsia="ar-SA"/>
              </w:rPr>
              <w:t>Telecommunication services</w:t>
            </w:r>
          </w:p>
        </w:tc>
        <w:tc>
          <w:tcPr>
            <w:tcW w:w="1137" w:type="dxa"/>
          </w:tcPr>
          <w:p w:rsidR="005912CF" w:rsidRPr="00035F28" w:rsidRDefault="005912CF" w:rsidP="00FE09C2">
            <w:pPr>
              <w:jc w:val="center"/>
              <w:rPr>
                <w:rFonts w:asciiTheme="majorBidi" w:eastAsia="Times New Roman" w:hAnsiTheme="majorBidi" w:cstheme="majorBidi"/>
                <w:color w:val="000000" w:themeColor="text1"/>
                <w:lang w:eastAsia="ar-SA"/>
              </w:rPr>
            </w:pPr>
            <w:r w:rsidRPr="00035F28">
              <w:rPr>
                <w:rFonts w:ascii="Arial" w:hAnsi="Arial" w:cs="Arial"/>
                <w:color w:val="000000" w:themeColor="text1"/>
                <w:sz w:val="20"/>
                <w:szCs w:val="20"/>
              </w:rPr>
              <w:t>585,564</w:t>
            </w:r>
          </w:p>
        </w:tc>
        <w:tc>
          <w:tcPr>
            <w:tcW w:w="1551" w:type="dxa"/>
          </w:tcPr>
          <w:p w:rsidR="005912CF" w:rsidRPr="00035F28" w:rsidRDefault="005912CF" w:rsidP="00FE09C2">
            <w:pPr>
              <w:jc w:val="center"/>
              <w:rPr>
                <w:rFonts w:asciiTheme="majorBidi" w:eastAsia="Times New Roman" w:hAnsiTheme="majorBidi" w:cstheme="majorBidi"/>
                <w:color w:val="000000" w:themeColor="text1"/>
                <w:lang w:eastAsia="ar-SA"/>
              </w:rPr>
            </w:pPr>
            <w:r w:rsidRPr="00035F28">
              <w:rPr>
                <w:rFonts w:ascii="Arial" w:hAnsi="Arial" w:cs="Arial"/>
                <w:color w:val="000000" w:themeColor="text1"/>
                <w:sz w:val="20"/>
                <w:szCs w:val="20"/>
              </w:rPr>
              <w:t>120,330</w:t>
            </w:r>
          </w:p>
        </w:tc>
        <w:tc>
          <w:tcPr>
            <w:tcW w:w="1578" w:type="dxa"/>
          </w:tcPr>
          <w:p w:rsidR="005912CF" w:rsidRPr="00035F28" w:rsidRDefault="005912CF" w:rsidP="00FE09C2">
            <w:pPr>
              <w:jc w:val="center"/>
              <w:rPr>
                <w:rFonts w:asciiTheme="majorBidi" w:eastAsia="Times New Roman" w:hAnsiTheme="majorBidi" w:cstheme="majorBidi"/>
                <w:color w:val="000000" w:themeColor="text1"/>
                <w:lang w:eastAsia="ar-SA"/>
              </w:rPr>
            </w:pPr>
            <w:r w:rsidRPr="00035F28">
              <w:rPr>
                <w:rFonts w:ascii="Arial" w:hAnsi="Arial" w:cs="Arial"/>
                <w:color w:val="000000" w:themeColor="text1"/>
                <w:sz w:val="20"/>
                <w:szCs w:val="20"/>
              </w:rPr>
              <w:t>115,081</w:t>
            </w:r>
          </w:p>
        </w:tc>
        <w:tc>
          <w:tcPr>
            <w:tcW w:w="995" w:type="dxa"/>
          </w:tcPr>
          <w:p w:rsidR="005912CF" w:rsidRPr="005912CF" w:rsidRDefault="005912CF" w:rsidP="00FE09C2">
            <w:pPr>
              <w:jc w:val="center"/>
              <w:rPr>
                <w:rFonts w:ascii="Arial" w:hAnsi="Arial" w:cs="Arial"/>
                <w:color w:val="000000" w:themeColor="text1"/>
                <w:sz w:val="20"/>
                <w:szCs w:val="20"/>
              </w:rPr>
            </w:pPr>
            <w:r w:rsidRPr="00035F28">
              <w:rPr>
                <w:rFonts w:ascii="Arial" w:hAnsi="Arial" w:cs="Arial"/>
                <w:color w:val="000000" w:themeColor="text1"/>
                <w:sz w:val="20"/>
                <w:szCs w:val="20"/>
              </w:rPr>
              <w:t>465,233</w:t>
            </w:r>
          </w:p>
        </w:tc>
        <w:tc>
          <w:tcPr>
            <w:tcW w:w="1280" w:type="dxa"/>
          </w:tcPr>
          <w:p w:rsidR="005912CF" w:rsidRPr="00035F28" w:rsidRDefault="005912CF" w:rsidP="00FE09C2">
            <w:pPr>
              <w:jc w:val="center"/>
              <w:rPr>
                <w:rFonts w:asciiTheme="majorBidi" w:eastAsia="Times New Roman" w:hAnsiTheme="majorBidi" w:cstheme="majorBidi"/>
                <w:color w:val="000000" w:themeColor="text1"/>
                <w:lang w:eastAsia="ar-SA"/>
              </w:rPr>
            </w:pPr>
            <w:r w:rsidRPr="00035F28">
              <w:rPr>
                <w:rFonts w:ascii="Arial" w:hAnsi="Arial" w:cs="Arial"/>
                <w:color w:val="000000" w:themeColor="text1"/>
                <w:sz w:val="20"/>
                <w:szCs w:val="20"/>
              </w:rPr>
              <w:t>96,629</w:t>
            </w:r>
          </w:p>
        </w:tc>
      </w:tr>
      <w:tr w:rsidR="00E1753F" w:rsidRPr="0013535B" w:rsidTr="00057465">
        <w:trPr>
          <w:trHeight w:val="503"/>
        </w:trPr>
        <w:tc>
          <w:tcPr>
            <w:tcW w:w="3521" w:type="dxa"/>
          </w:tcPr>
          <w:p w:rsidR="00E1753F" w:rsidRPr="002A41C3" w:rsidRDefault="00E1753F" w:rsidP="00E1753F">
            <w:pPr>
              <w:jc w:val="both"/>
              <w:rPr>
                <w:rFonts w:asciiTheme="majorBidi" w:eastAsia="Times New Roman" w:hAnsiTheme="majorBidi" w:cstheme="majorBidi"/>
                <w:b/>
                <w:bCs/>
                <w:lang w:eastAsia="ar-SA"/>
              </w:rPr>
            </w:pPr>
            <w:r w:rsidRPr="002A41C3">
              <w:rPr>
                <w:rFonts w:asciiTheme="majorBidi" w:eastAsia="Times New Roman" w:hAnsiTheme="majorBidi" w:cstheme="majorBidi"/>
                <w:b/>
                <w:bCs/>
                <w:lang w:eastAsia="ar-SA"/>
              </w:rPr>
              <w:t xml:space="preserve">Computer programming, consultancy and related activities </w:t>
            </w:r>
          </w:p>
        </w:tc>
        <w:tc>
          <w:tcPr>
            <w:tcW w:w="1137" w:type="dxa"/>
          </w:tcPr>
          <w:p w:rsidR="00E1753F" w:rsidRPr="00035F28" w:rsidRDefault="00371B62" w:rsidP="00FE09C2">
            <w:pPr>
              <w:jc w:val="center"/>
              <w:rPr>
                <w:rFonts w:asciiTheme="majorBidi" w:eastAsia="Times New Roman" w:hAnsiTheme="majorBidi" w:cstheme="majorBidi"/>
                <w:color w:val="000000" w:themeColor="text1"/>
                <w:lang w:eastAsia="ar-SA"/>
              </w:rPr>
            </w:pPr>
            <w:r w:rsidRPr="00035F28">
              <w:rPr>
                <w:rFonts w:asciiTheme="majorBidi" w:eastAsia="Times New Roman" w:hAnsiTheme="majorBidi" w:cstheme="majorBidi"/>
                <w:color w:val="000000" w:themeColor="text1"/>
                <w:lang w:eastAsia="ar-SA"/>
              </w:rPr>
              <w:t>36,703</w:t>
            </w:r>
          </w:p>
        </w:tc>
        <w:tc>
          <w:tcPr>
            <w:tcW w:w="1551" w:type="dxa"/>
          </w:tcPr>
          <w:p w:rsidR="00E1753F" w:rsidRPr="00035F28" w:rsidRDefault="00371B62" w:rsidP="00FE09C2">
            <w:pPr>
              <w:jc w:val="center"/>
              <w:rPr>
                <w:rFonts w:asciiTheme="majorBidi" w:eastAsia="Times New Roman" w:hAnsiTheme="majorBidi" w:cstheme="majorBidi"/>
                <w:color w:val="000000" w:themeColor="text1"/>
                <w:lang w:eastAsia="ar-SA"/>
              </w:rPr>
            </w:pPr>
            <w:r w:rsidRPr="00035F28">
              <w:rPr>
                <w:rFonts w:asciiTheme="majorBidi" w:eastAsia="Times New Roman" w:hAnsiTheme="majorBidi" w:cstheme="majorBidi"/>
                <w:color w:val="000000" w:themeColor="text1"/>
                <w:lang w:eastAsia="ar-SA"/>
              </w:rPr>
              <w:t>2,942</w:t>
            </w:r>
          </w:p>
        </w:tc>
        <w:tc>
          <w:tcPr>
            <w:tcW w:w="1578" w:type="dxa"/>
          </w:tcPr>
          <w:p w:rsidR="00E1753F" w:rsidRPr="00035F28" w:rsidRDefault="00371B62" w:rsidP="00FE09C2">
            <w:pPr>
              <w:jc w:val="center"/>
              <w:rPr>
                <w:rFonts w:asciiTheme="majorBidi" w:eastAsia="Times New Roman" w:hAnsiTheme="majorBidi" w:cstheme="majorBidi"/>
                <w:color w:val="000000" w:themeColor="text1"/>
                <w:lang w:eastAsia="ar-SA"/>
              </w:rPr>
            </w:pPr>
            <w:r w:rsidRPr="00035F28">
              <w:rPr>
                <w:rFonts w:asciiTheme="majorBidi" w:eastAsia="Times New Roman" w:hAnsiTheme="majorBidi" w:cstheme="majorBidi"/>
                <w:color w:val="000000" w:themeColor="text1"/>
                <w:lang w:eastAsia="ar-SA"/>
              </w:rPr>
              <w:t>13,813</w:t>
            </w:r>
          </w:p>
        </w:tc>
        <w:tc>
          <w:tcPr>
            <w:tcW w:w="995" w:type="dxa"/>
          </w:tcPr>
          <w:p w:rsidR="00E1753F" w:rsidRPr="00035F28" w:rsidRDefault="00371B62" w:rsidP="00FE09C2">
            <w:pPr>
              <w:jc w:val="center"/>
              <w:rPr>
                <w:rFonts w:asciiTheme="majorBidi" w:eastAsia="Times New Roman" w:hAnsiTheme="majorBidi" w:cstheme="majorBidi"/>
                <w:color w:val="000000" w:themeColor="text1"/>
                <w:lang w:eastAsia="ar-SA"/>
              </w:rPr>
            </w:pPr>
            <w:r w:rsidRPr="00035F28">
              <w:rPr>
                <w:rFonts w:asciiTheme="majorBidi" w:eastAsia="Times New Roman" w:hAnsiTheme="majorBidi" w:cstheme="majorBidi"/>
                <w:color w:val="000000" w:themeColor="text1"/>
                <w:lang w:eastAsia="ar-SA"/>
              </w:rPr>
              <w:t>33,761</w:t>
            </w:r>
          </w:p>
        </w:tc>
        <w:tc>
          <w:tcPr>
            <w:tcW w:w="1280" w:type="dxa"/>
          </w:tcPr>
          <w:p w:rsidR="00E1753F" w:rsidRPr="00035F28" w:rsidRDefault="00371B62" w:rsidP="00FE09C2">
            <w:pPr>
              <w:jc w:val="center"/>
              <w:rPr>
                <w:rFonts w:asciiTheme="majorBidi" w:eastAsia="Times New Roman" w:hAnsiTheme="majorBidi" w:cstheme="majorBidi"/>
                <w:color w:val="000000" w:themeColor="text1"/>
                <w:lang w:eastAsia="ar-SA"/>
              </w:rPr>
            </w:pPr>
            <w:r w:rsidRPr="00035F28">
              <w:rPr>
                <w:rFonts w:asciiTheme="majorBidi" w:eastAsia="Times New Roman" w:hAnsiTheme="majorBidi" w:cstheme="majorBidi"/>
                <w:color w:val="000000" w:themeColor="text1"/>
                <w:lang w:eastAsia="ar-SA"/>
              </w:rPr>
              <w:t>417</w:t>
            </w:r>
          </w:p>
        </w:tc>
      </w:tr>
      <w:tr w:rsidR="00E1753F" w:rsidRPr="0013535B" w:rsidTr="00057465">
        <w:trPr>
          <w:trHeight w:val="488"/>
        </w:trPr>
        <w:tc>
          <w:tcPr>
            <w:tcW w:w="3521" w:type="dxa"/>
          </w:tcPr>
          <w:p w:rsidR="00E1753F" w:rsidRPr="002A41C3" w:rsidRDefault="00E1753F" w:rsidP="00E1753F">
            <w:pPr>
              <w:jc w:val="both"/>
              <w:rPr>
                <w:rFonts w:asciiTheme="majorBidi" w:eastAsia="Times New Roman" w:hAnsiTheme="majorBidi" w:cstheme="majorBidi"/>
                <w:b/>
                <w:bCs/>
                <w:lang w:eastAsia="ar-SA"/>
              </w:rPr>
            </w:pPr>
            <w:r w:rsidRPr="002A41C3">
              <w:rPr>
                <w:rFonts w:asciiTheme="majorBidi" w:eastAsia="Times New Roman" w:hAnsiTheme="majorBidi" w:cstheme="majorBidi"/>
                <w:b/>
                <w:bCs/>
                <w:lang w:eastAsia="ar-SA"/>
              </w:rPr>
              <w:t>Data processing, hosting and related activities, web portals</w:t>
            </w:r>
          </w:p>
        </w:tc>
        <w:tc>
          <w:tcPr>
            <w:tcW w:w="1137" w:type="dxa"/>
          </w:tcPr>
          <w:p w:rsidR="00E1753F" w:rsidRPr="00035F28" w:rsidRDefault="00371B62" w:rsidP="00FE09C2">
            <w:pPr>
              <w:jc w:val="center"/>
              <w:rPr>
                <w:rFonts w:asciiTheme="majorBidi" w:eastAsia="Times New Roman" w:hAnsiTheme="majorBidi" w:cstheme="majorBidi"/>
                <w:color w:val="000000" w:themeColor="text1"/>
                <w:lang w:eastAsia="ar-SA"/>
              </w:rPr>
            </w:pPr>
            <w:r w:rsidRPr="00035F28">
              <w:rPr>
                <w:rFonts w:asciiTheme="majorBidi" w:eastAsia="Times New Roman" w:hAnsiTheme="majorBidi" w:cstheme="majorBidi"/>
                <w:color w:val="000000" w:themeColor="text1"/>
                <w:lang w:eastAsia="ar-SA"/>
              </w:rPr>
              <w:t>3,071</w:t>
            </w:r>
          </w:p>
        </w:tc>
        <w:tc>
          <w:tcPr>
            <w:tcW w:w="1551" w:type="dxa"/>
          </w:tcPr>
          <w:p w:rsidR="00E1753F" w:rsidRPr="00035F28" w:rsidRDefault="00371B62" w:rsidP="00FE09C2">
            <w:pPr>
              <w:jc w:val="center"/>
              <w:rPr>
                <w:rFonts w:asciiTheme="majorBidi" w:eastAsia="Times New Roman" w:hAnsiTheme="majorBidi" w:cstheme="majorBidi"/>
                <w:color w:val="000000" w:themeColor="text1"/>
                <w:lang w:eastAsia="ar-SA"/>
              </w:rPr>
            </w:pPr>
            <w:r w:rsidRPr="00035F28">
              <w:rPr>
                <w:rFonts w:asciiTheme="majorBidi" w:eastAsia="Times New Roman" w:hAnsiTheme="majorBidi" w:cstheme="majorBidi"/>
                <w:color w:val="000000" w:themeColor="text1"/>
                <w:lang w:eastAsia="ar-SA"/>
              </w:rPr>
              <w:t>450</w:t>
            </w:r>
          </w:p>
        </w:tc>
        <w:tc>
          <w:tcPr>
            <w:tcW w:w="1578" w:type="dxa"/>
          </w:tcPr>
          <w:p w:rsidR="00E1753F" w:rsidRPr="00035F28" w:rsidRDefault="00371B62" w:rsidP="00FE09C2">
            <w:pPr>
              <w:jc w:val="center"/>
              <w:rPr>
                <w:rFonts w:asciiTheme="majorBidi" w:eastAsia="Times New Roman" w:hAnsiTheme="majorBidi" w:cstheme="majorBidi"/>
                <w:color w:val="000000" w:themeColor="text1"/>
                <w:lang w:eastAsia="ar-SA"/>
              </w:rPr>
            </w:pPr>
            <w:r w:rsidRPr="00035F28">
              <w:rPr>
                <w:rFonts w:asciiTheme="majorBidi" w:eastAsia="Times New Roman" w:hAnsiTheme="majorBidi" w:cstheme="majorBidi"/>
                <w:color w:val="000000" w:themeColor="text1"/>
                <w:lang w:eastAsia="ar-SA"/>
              </w:rPr>
              <w:t>1,407</w:t>
            </w:r>
          </w:p>
        </w:tc>
        <w:tc>
          <w:tcPr>
            <w:tcW w:w="995" w:type="dxa"/>
          </w:tcPr>
          <w:p w:rsidR="00E1753F" w:rsidRPr="00035F28" w:rsidRDefault="00371B62" w:rsidP="00FE09C2">
            <w:pPr>
              <w:jc w:val="center"/>
              <w:rPr>
                <w:rFonts w:asciiTheme="majorBidi" w:eastAsia="Times New Roman" w:hAnsiTheme="majorBidi" w:cstheme="majorBidi"/>
                <w:color w:val="000000" w:themeColor="text1"/>
                <w:lang w:eastAsia="ar-SA"/>
              </w:rPr>
            </w:pPr>
            <w:r w:rsidRPr="00035F28">
              <w:rPr>
                <w:rFonts w:asciiTheme="majorBidi" w:eastAsia="Times New Roman" w:hAnsiTheme="majorBidi" w:cstheme="majorBidi"/>
                <w:color w:val="000000" w:themeColor="text1"/>
                <w:lang w:eastAsia="ar-SA"/>
              </w:rPr>
              <w:t>2,621</w:t>
            </w:r>
          </w:p>
        </w:tc>
        <w:tc>
          <w:tcPr>
            <w:tcW w:w="1280" w:type="dxa"/>
          </w:tcPr>
          <w:p w:rsidR="00E1753F" w:rsidRPr="00035F28" w:rsidRDefault="00371B62" w:rsidP="00FE09C2">
            <w:pPr>
              <w:jc w:val="center"/>
              <w:rPr>
                <w:rFonts w:asciiTheme="majorBidi" w:eastAsia="Times New Roman" w:hAnsiTheme="majorBidi" w:cstheme="majorBidi"/>
                <w:color w:val="000000" w:themeColor="text1"/>
                <w:lang w:eastAsia="ar-SA"/>
              </w:rPr>
            </w:pPr>
            <w:r w:rsidRPr="00035F28">
              <w:rPr>
                <w:rFonts w:asciiTheme="majorBidi" w:eastAsia="Times New Roman" w:hAnsiTheme="majorBidi" w:cstheme="majorBidi"/>
                <w:color w:val="000000" w:themeColor="text1"/>
                <w:lang w:eastAsia="ar-SA"/>
              </w:rPr>
              <w:t>0</w:t>
            </w:r>
          </w:p>
        </w:tc>
      </w:tr>
      <w:tr w:rsidR="00E1753F" w:rsidRPr="0013535B" w:rsidTr="00057465">
        <w:trPr>
          <w:trHeight w:val="237"/>
        </w:trPr>
        <w:tc>
          <w:tcPr>
            <w:tcW w:w="3521" w:type="dxa"/>
          </w:tcPr>
          <w:p w:rsidR="00E1753F" w:rsidRPr="002A41C3" w:rsidRDefault="00E1753F" w:rsidP="00E1753F">
            <w:pPr>
              <w:jc w:val="both"/>
              <w:rPr>
                <w:rFonts w:asciiTheme="majorBidi" w:eastAsia="Times New Roman" w:hAnsiTheme="majorBidi" w:cstheme="majorBidi"/>
                <w:b/>
                <w:bCs/>
                <w:lang w:eastAsia="ar-SA"/>
              </w:rPr>
            </w:pPr>
            <w:r w:rsidRPr="002A41C3">
              <w:rPr>
                <w:rFonts w:asciiTheme="majorBidi" w:eastAsia="Times New Roman" w:hAnsiTheme="majorBidi" w:cstheme="majorBidi"/>
                <w:b/>
                <w:bCs/>
                <w:lang w:eastAsia="ar-SA"/>
              </w:rPr>
              <w:t>Content and media</w:t>
            </w:r>
          </w:p>
        </w:tc>
        <w:tc>
          <w:tcPr>
            <w:tcW w:w="1137" w:type="dxa"/>
            <w:tcBorders>
              <w:bottom w:val="single" w:sz="4" w:space="0" w:color="000000" w:themeColor="text1"/>
            </w:tcBorders>
          </w:tcPr>
          <w:p w:rsidR="00E1753F" w:rsidRPr="00035F28" w:rsidRDefault="00035F28" w:rsidP="00FE09C2">
            <w:pPr>
              <w:jc w:val="center"/>
              <w:rPr>
                <w:rFonts w:asciiTheme="majorBidi" w:eastAsia="Times New Roman" w:hAnsiTheme="majorBidi" w:cstheme="majorBidi"/>
                <w:color w:val="000000" w:themeColor="text1"/>
                <w:lang w:eastAsia="ar-SA"/>
              </w:rPr>
            </w:pPr>
            <w:r w:rsidRPr="00035F28">
              <w:rPr>
                <w:rFonts w:asciiTheme="majorBidi" w:eastAsia="Times New Roman" w:hAnsiTheme="majorBidi" w:cstheme="majorBidi"/>
                <w:color w:val="000000" w:themeColor="text1"/>
                <w:lang w:eastAsia="ar-SA"/>
              </w:rPr>
              <w:t>21,357</w:t>
            </w:r>
          </w:p>
        </w:tc>
        <w:tc>
          <w:tcPr>
            <w:tcW w:w="1551" w:type="dxa"/>
            <w:tcBorders>
              <w:bottom w:val="single" w:sz="4" w:space="0" w:color="000000" w:themeColor="text1"/>
            </w:tcBorders>
          </w:tcPr>
          <w:p w:rsidR="00E1753F" w:rsidRPr="00035F28" w:rsidRDefault="00035F28" w:rsidP="00FE09C2">
            <w:pPr>
              <w:jc w:val="center"/>
              <w:rPr>
                <w:rFonts w:asciiTheme="majorBidi" w:eastAsia="Times New Roman" w:hAnsiTheme="majorBidi" w:cstheme="majorBidi"/>
                <w:color w:val="000000" w:themeColor="text1"/>
                <w:lang w:eastAsia="ar-SA"/>
              </w:rPr>
            </w:pPr>
            <w:r w:rsidRPr="00035F28">
              <w:rPr>
                <w:rFonts w:asciiTheme="majorBidi" w:eastAsia="Times New Roman" w:hAnsiTheme="majorBidi" w:cstheme="majorBidi"/>
                <w:color w:val="000000" w:themeColor="text1"/>
                <w:lang w:eastAsia="ar-SA"/>
              </w:rPr>
              <w:t>5,593</w:t>
            </w:r>
          </w:p>
        </w:tc>
        <w:tc>
          <w:tcPr>
            <w:tcW w:w="1578" w:type="dxa"/>
            <w:tcBorders>
              <w:bottom w:val="single" w:sz="4" w:space="0" w:color="000000" w:themeColor="text1"/>
            </w:tcBorders>
          </w:tcPr>
          <w:p w:rsidR="00E1753F" w:rsidRPr="00035F28" w:rsidRDefault="00035F28" w:rsidP="00FE09C2">
            <w:pPr>
              <w:jc w:val="center"/>
              <w:rPr>
                <w:rFonts w:asciiTheme="majorBidi" w:eastAsia="Times New Roman" w:hAnsiTheme="majorBidi" w:cstheme="majorBidi"/>
                <w:color w:val="000000" w:themeColor="text1"/>
                <w:lang w:eastAsia="ar-SA"/>
              </w:rPr>
            </w:pPr>
            <w:r w:rsidRPr="00035F28">
              <w:rPr>
                <w:rFonts w:asciiTheme="majorBidi" w:eastAsia="Times New Roman" w:hAnsiTheme="majorBidi" w:cstheme="majorBidi"/>
                <w:color w:val="000000" w:themeColor="text1"/>
                <w:lang w:eastAsia="ar-SA"/>
              </w:rPr>
              <w:t>13,230</w:t>
            </w:r>
          </w:p>
        </w:tc>
        <w:tc>
          <w:tcPr>
            <w:tcW w:w="995" w:type="dxa"/>
            <w:tcBorders>
              <w:bottom w:val="single" w:sz="4" w:space="0" w:color="000000" w:themeColor="text1"/>
            </w:tcBorders>
          </w:tcPr>
          <w:p w:rsidR="00E1753F" w:rsidRPr="00035F28" w:rsidRDefault="00035F28" w:rsidP="00FE09C2">
            <w:pPr>
              <w:jc w:val="center"/>
              <w:rPr>
                <w:rFonts w:asciiTheme="majorBidi" w:eastAsia="Times New Roman" w:hAnsiTheme="majorBidi" w:cstheme="majorBidi"/>
                <w:color w:val="000000" w:themeColor="text1"/>
                <w:lang w:eastAsia="ar-SA"/>
              </w:rPr>
            </w:pPr>
            <w:r w:rsidRPr="00035F28">
              <w:rPr>
                <w:rFonts w:asciiTheme="majorBidi" w:eastAsia="Times New Roman" w:hAnsiTheme="majorBidi" w:cstheme="majorBidi"/>
                <w:color w:val="000000" w:themeColor="text1"/>
                <w:lang w:eastAsia="ar-SA"/>
              </w:rPr>
              <w:t>15,764</w:t>
            </w:r>
          </w:p>
        </w:tc>
        <w:tc>
          <w:tcPr>
            <w:tcW w:w="1280" w:type="dxa"/>
            <w:tcBorders>
              <w:bottom w:val="single" w:sz="4" w:space="0" w:color="000000" w:themeColor="text1"/>
            </w:tcBorders>
          </w:tcPr>
          <w:p w:rsidR="00E1753F" w:rsidRPr="00035F28" w:rsidRDefault="00035F28" w:rsidP="00FE09C2">
            <w:pPr>
              <w:jc w:val="center"/>
              <w:rPr>
                <w:rFonts w:asciiTheme="majorBidi" w:eastAsia="Times New Roman" w:hAnsiTheme="majorBidi" w:cstheme="majorBidi"/>
                <w:color w:val="000000" w:themeColor="text1"/>
                <w:lang w:eastAsia="ar-SA"/>
              </w:rPr>
            </w:pPr>
            <w:r w:rsidRPr="00035F28">
              <w:rPr>
                <w:rFonts w:asciiTheme="majorBidi" w:eastAsia="Times New Roman" w:hAnsiTheme="majorBidi" w:cstheme="majorBidi"/>
                <w:color w:val="000000" w:themeColor="text1"/>
                <w:lang w:eastAsia="ar-SA"/>
              </w:rPr>
              <w:t>377</w:t>
            </w:r>
          </w:p>
        </w:tc>
      </w:tr>
      <w:tr w:rsidR="00E1753F" w:rsidRPr="0013535B" w:rsidTr="00057465">
        <w:trPr>
          <w:trHeight w:val="241"/>
        </w:trPr>
        <w:tc>
          <w:tcPr>
            <w:tcW w:w="3521" w:type="dxa"/>
          </w:tcPr>
          <w:p w:rsidR="00E1753F" w:rsidRPr="002A41C3" w:rsidRDefault="00E1753F" w:rsidP="00E1753F">
            <w:pPr>
              <w:jc w:val="both"/>
              <w:rPr>
                <w:rFonts w:asciiTheme="majorBidi" w:eastAsia="Times New Roman" w:hAnsiTheme="majorBidi" w:cstheme="majorBidi"/>
                <w:b/>
                <w:bCs/>
                <w:lang w:eastAsia="ar-SA"/>
              </w:rPr>
            </w:pPr>
            <w:r w:rsidRPr="002A41C3">
              <w:rPr>
                <w:rFonts w:asciiTheme="majorBidi" w:eastAsia="Times New Roman" w:hAnsiTheme="majorBidi" w:cstheme="majorBidi"/>
                <w:b/>
                <w:bCs/>
                <w:lang w:eastAsia="ar-SA"/>
              </w:rPr>
              <w:t>ICT trade (Whole sale and retail)</w:t>
            </w:r>
          </w:p>
        </w:tc>
        <w:tc>
          <w:tcPr>
            <w:tcW w:w="1137" w:type="dxa"/>
          </w:tcPr>
          <w:p w:rsidR="00035F28" w:rsidRPr="00035F28" w:rsidRDefault="00035F28" w:rsidP="00FE09C2">
            <w:pPr>
              <w:jc w:val="center"/>
              <w:rPr>
                <w:rFonts w:ascii="Arial" w:hAnsi="Arial" w:cs="Arial"/>
                <w:color w:val="000000" w:themeColor="text1"/>
                <w:sz w:val="20"/>
                <w:szCs w:val="20"/>
              </w:rPr>
            </w:pPr>
            <w:r w:rsidRPr="00035F28">
              <w:rPr>
                <w:rFonts w:ascii="Arial" w:hAnsi="Arial" w:cs="Arial"/>
                <w:color w:val="000000" w:themeColor="text1"/>
                <w:sz w:val="20"/>
                <w:szCs w:val="20"/>
              </w:rPr>
              <w:t>89,907</w:t>
            </w:r>
          </w:p>
          <w:p w:rsidR="00E1753F" w:rsidRPr="00035F28" w:rsidRDefault="00E1753F" w:rsidP="00FE09C2">
            <w:pPr>
              <w:jc w:val="center"/>
              <w:rPr>
                <w:rFonts w:asciiTheme="majorBidi" w:eastAsia="Times New Roman" w:hAnsiTheme="majorBidi" w:cstheme="majorBidi"/>
                <w:color w:val="000000" w:themeColor="text1"/>
                <w:lang w:eastAsia="ar-SA"/>
              </w:rPr>
            </w:pPr>
          </w:p>
        </w:tc>
        <w:tc>
          <w:tcPr>
            <w:tcW w:w="1551" w:type="dxa"/>
          </w:tcPr>
          <w:p w:rsidR="00035F28" w:rsidRPr="00035F28" w:rsidRDefault="00035F28" w:rsidP="00FE09C2">
            <w:pPr>
              <w:jc w:val="center"/>
              <w:rPr>
                <w:rFonts w:ascii="Arial" w:hAnsi="Arial" w:cs="Arial"/>
                <w:color w:val="000000" w:themeColor="text1"/>
                <w:sz w:val="20"/>
                <w:szCs w:val="20"/>
              </w:rPr>
            </w:pPr>
            <w:r w:rsidRPr="00035F28">
              <w:rPr>
                <w:rFonts w:ascii="Arial" w:hAnsi="Arial" w:cs="Arial"/>
                <w:color w:val="000000" w:themeColor="text1"/>
                <w:sz w:val="20"/>
                <w:szCs w:val="20"/>
              </w:rPr>
              <w:t>19,949</w:t>
            </w:r>
          </w:p>
          <w:p w:rsidR="00E1753F" w:rsidRPr="00035F28" w:rsidRDefault="00E1753F" w:rsidP="00FE09C2">
            <w:pPr>
              <w:jc w:val="center"/>
              <w:rPr>
                <w:rFonts w:asciiTheme="majorBidi" w:eastAsia="Times New Roman" w:hAnsiTheme="majorBidi" w:cstheme="majorBidi"/>
                <w:color w:val="000000" w:themeColor="text1"/>
                <w:lang w:eastAsia="ar-SA"/>
              </w:rPr>
            </w:pPr>
          </w:p>
        </w:tc>
        <w:tc>
          <w:tcPr>
            <w:tcW w:w="1578" w:type="dxa"/>
          </w:tcPr>
          <w:p w:rsidR="00E1753F" w:rsidRPr="00035F28" w:rsidRDefault="00E15657" w:rsidP="00FE09C2">
            <w:pPr>
              <w:jc w:val="center"/>
              <w:rPr>
                <w:rFonts w:asciiTheme="majorBidi" w:eastAsia="Times New Roman" w:hAnsiTheme="majorBidi" w:cstheme="majorBidi"/>
                <w:color w:val="000000" w:themeColor="text1"/>
                <w:lang w:eastAsia="ar-SA"/>
              </w:rPr>
            </w:pPr>
            <w:r>
              <w:rPr>
                <w:rFonts w:asciiTheme="majorBidi" w:eastAsia="Times New Roman" w:hAnsiTheme="majorBidi" w:cstheme="majorBidi"/>
                <w:color w:val="000000" w:themeColor="text1"/>
                <w:lang w:eastAsia="ar-SA"/>
              </w:rPr>
              <w:t>873</w:t>
            </w:r>
          </w:p>
        </w:tc>
        <w:tc>
          <w:tcPr>
            <w:tcW w:w="995" w:type="dxa"/>
          </w:tcPr>
          <w:p w:rsidR="00035F28" w:rsidRPr="00035F28" w:rsidRDefault="00035F28" w:rsidP="00FE09C2">
            <w:pPr>
              <w:jc w:val="center"/>
              <w:rPr>
                <w:rFonts w:ascii="Arial" w:hAnsi="Arial" w:cs="Arial"/>
                <w:color w:val="000000" w:themeColor="text1"/>
                <w:sz w:val="20"/>
                <w:szCs w:val="20"/>
              </w:rPr>
            </w:pPr>
            <w:r w:rsidRPr="00035F28">
              <w:rPr>
                <w:rFonts w:ascii="Arial" w:hAnsi="Arial" w:cs="Arial"/>
                <w:color w:val="000000" w:themeColor="text1"/>
                <w:sz w:val="20"/>
                <w:szCs w:val="20"/>
              </w:rPr>
              <w:t>69,958</w:t>
            </w:r>
          </w:p>
          <w:p w:rsidR="00E1753F" w:rsidRPr="00035F28" w:rsidRDefault="00E1753F" w:rsidP="00FE09C2">
            <w:pPr>
              <w:jc w:val="center"/>
              <w:rPr>
                <w:rFonts w:asciiTheme="majorBidi" w:eastAsia="Times New Roman" w:hAnsiTheme="majorBidi" w:cstheme="majorBidi"/>
                <w:color w:val="000000" w:themeColor="text1"/>
                <w:lang w:eastAsia="ar-SA"/>
              </w:rPr>
            </w:pPr>
          </w:p>
        </w:tc>
        <w:tc>
          <w:tcPr>
            <w:tcW w:w="1280" w:type="dxa"/>
          </w:tcPr>
          <w:p w:rsidR="00E1753F" w:rsidRPr="00297A19" w:rsidRDefault="00035F28" w:rsidP="00297A19">
            <w:pPr>
              <w:jc w:val="center"/>
              <w:rPr>
                <w:rFonts w:ascii="Arial" w:hAnsi="Arial" w:cs="Arial"/>
                <w:color w:val="000000" w:themeColor="text1"/>
                <w:sz w:val="20"/>
                <w:szCs w:val="20"/>
              </w:rPr>
            </w:pPr>
            <w:r w:rsidRPr="00035F28">
              <w:rPr>
                <w:rFonts w:ascii="Arial" w:hAnsi="Arial" w:cs="Arial"/>
                <w:color w:val="000000" w:themeColor="text1"/>
                <w:sz w:val="20"/>
                <w:szCs w:val="20"/>
              </w:rPr>
              <w:t>16,655</w:t>
            </w:r>
          </w:p>
        </w:tc>
      </w:tr>
      <w:tr w:rsidR="00E1753F" w:rsidRPr="0013535B" w:rsidTr="00057465">
        <w:trPr>
          <w:trHeight w:val="503"/>
        </w:trPr>
        <w:tc>
          <w:tcPr>
            <w:tcW w:w="3521" w:type="dxa"/>
          </w:tcPr>
          <w:p w:rsidR="00E1753F" w:rsidRPr="002A41C3" w:rsidRDefault="00E1753F" w:rsidP="00E1753F">
            <w:pPr>
              <w:jc w:val="both"/>
              <w:rPr>
                <w:rFonts w:asciiTheme="majorBidi" w:eastAsia="Times New Roman" w:hAnsiTheme="majorBidi" w:cstheme="majorBidi"/>
                <w:b/>
                <w:bCs/>
                <w:lang w:eastAsia="ar-SA"/>
              </w:rPr>
            </w:pPr>
            <w:r w:rsidRPr="002A41C3">
              <w:rPr>
                <w:rFonts w:asciiTheme="majorBidi" w:eastAsia="Times New Roman" w:hAnsiTheme="majorBidi" w:cstheme="majorBidi"/>
                <w:b/>
                <w:bCs/>
                <w:lang w:eastAsia="ar-SA"/>
              </w:rPr>
              <w:t>Repair of computers and communication equipment</w:t>
            </w:r>
          </w:p>
        </w:tc>
        <w:tc>
          <w:tcPr>
            <w:tcW w:w="1137" w:type="dxa"/>
          </w:tcPr>
          <w:p w:rsidR="00035F28" w:rsidRPr="00035F28" w:rsidRDefault="00035F28" w:rsidP="00FE09C2">
            <w:pPr>
              <w:jc w:val="center"/>
              <w:rPr>
                <w:rFonts w:ascii="Arial" w:hAnsi="Arial" w:cs="Arial"/>
                <w:color w:val="000000" w:themeColor="text1"/>
                <w:sz w:val="20"/>
                <w:szCs w:val="20"/>
              </w:rPr>
            </w:pPr>
            <w:r w:rsidRPr="00035F28">
              <w:rPr>
                <w:rFonts w:ascii="Arial" w:hAnsi="Arial" w:cs="Arial"/>
                <w:color w:val="000000" w:themeColor="text1"/>
                <w:sz w:val="20"/>
                <w:szCs w:val="20"/>
              </w:rPr>
              <w:t>13,801</w:t>
            </w:r>
          </w:p>
          <w:p w:rsidR="00E1753F" w:rsidRPr="00035F28" w:rsidRDefault="00E1753F" w:rsidP="00FE09C2">
            <w:pPr>
              <w:jc w:val="center"/>
              <w:rPr>
                <w:rFonts w:asciiTheme="majorBidi" w:eastAsia="Times New Roman" w:hAnsiTheme="majorBidi" w:cstheme="majorBidi"/>
                <w:color w:val="000000" w:themeColor="text1"/>
                <w:lang w:eastAsia="ar-SA"/>
              </w:rPr>
            </w:pPr>
          </w:p>
        </w:tc>
        <w:tc>
          <w:tcPr>
            <w:tcW w:w="1551" w:type="dxa"/>
          </w:tcPr>
          <w:p w:rsidR="00035F28" w:rsidRPr="00035F28" w:rsidRDefault="00035F28" w:rsidP="00FE09C2">
            <w:pPr>
              <w:jc w:val="center"/>
              <w:rPr>
                <w:rFonts w:ascii="Arial" w:hAnsi="Arial" w:cs="Arial"/>
                <w:color w:val="000000" w:themeColor="text1"/>
                <w:sz w:val="20"/>
                <w:szCs w:val="20"/>
              </w:rPr>
            </w:pPr>
            <w:r w:rsidRPr="00035F28">
              <w:rPr>
                <w:rFonts w:ascii="Arial" w:hAnsi="Arial" w:cs="Arial"/>
                <w:color w:val="000000" w:themeColor="text1"/>
                <w:sz w:val="20"/>
                <w:szCs w:val="20"/>
              </w:rPr>
              <w:t>4,274</w:t>
            </w:r>
          </w:p>
          <w:p w:rsidR="00E1753F" w:rsidRPr="00035F28" w:rsidRDefault="00E1753F" w:rsidP="00FE09C2">
            <w:pPr>
              <w:jc w:val="center"/>
              <w:rPr>
                <w:rFonts w:asciiTheme="majorBidi" w:eastAsia="Times New Roman" w:hAnsiTheme="majorBidi" w:cstheme="majorBidi"/>
                <w:color w:val="000000" w:themeColor="text1"/>
                <w:lang w:eastAsia="ar-SA"/>
              </w:rPr>
            </w:pPr>
          </w:p>
        </w:tc>
        <w:tc>
          <w:tcPr>
            <w:tcW w:w="1578" w:type="dxa"/>
          </w:tcPr>
          <w:p w:rsidR="00035F28" w:rsidRPr="00035F28" w:rsidRDefault="00035F28" w:rsidP="00FE09C2">
            <w:pPr>
              <w:jc w:val="center"/>
              <w:rPr>
                <w:rFonts w:ascii="Arial" w:hAnsi="Arial" w:cs="Arial"/>
                <w:color w:val="000000" w:themeColor="text1"/>
                <w:sz w:val="20"/>
                <w:szCs w:val="20"/>
              </w:rPr>
            </w:pPr>
            <w:r w:rsidRPr="00035F28">
              <w:rPr>
                <w:rFonts w:ascii="Arial" w:hAnsi="Arial" w:cs="Arial"/>
                <w:color w:val="000000" w:themeColor="text1"/>
                <w:sz w:val="20"/>
                <w:szCs w:val="20"/>
              </w:rPr>
              <w:t>2,751</w:t>
            </w:r>
          </w:p>
          <w:p w:rsidR="00E1753F" w:rsidRPr="00035F28" w:rsidRDefault="00E1753F" w:rsidP="00FE09C2">
            <w:pPr>
              <w:jc w:val="center"/>
              <w:rPr>
                <w:rFonts w:asciiTheme="majorBidi" w:eastAsia="Times New Roman" w:hAnsiTheme="majorBidi" w:cstheme="majorBidi"/>
                <w:color w:val="000000" w:themeColor="text1"/>
                <w:lang w:eastAsia="ar-SA"/>
              </w:rPr>
            </w:pPr>
          </w:p>
        </w:tc>
        <w:tc>
          <w:tcPr>
            <w:tcW w:w="995" w:type="dxa"/>
          </w:tcPr>
          <w:p w:rsidR="00035F28" w:rsidRPr="00035F28" w:rsidRDefault="00035F28" w:rsidP="00FE09C2">
            <w:pPr>
              <w:jc w:val="center"/>
              <w:rPr>
                <w:rFonts w:ascii="Arial" w:hAnsi="Arial" w:cs="Arial"/>
                <w:color w:val="000000" w:themeColor="text1"/>
                <w:sz w:val="20"/>
                <w:szCs w:val="20"/>
              </w:rPr>
            </w:pPr>
            <w:r w:rsidRPr="00035F28">
              <w:rPr>
                <w:rFonts w:ascii="Arial" w:hAnsi="Arial" w:cs="Arial"/>
                <w:color w:val="000000" w:themeColor="text1"/>
                <w:sz w:val="20"/>
                <w:szCs w:val="20"/>
              </w:rPr>
              <w:t>9,527</w:t>
            </w:r>
          </w:p>
          <w:p w:rsidR="00E1753F" w:rsidRPr="00035F28" w:rsidRDefault="00E1753F" w:rsidP="00FE09C2">
            <w:pPr>
              <w:jc w:val="center"/>
              <w:rPr>
                <w:rFonts w:asciiTheme="majorBidi" w:eastAsia="Times New Roman" w:hAnsiTheme="majorBidi" w:cstheme="majorBidi"/>
                <w:color w:val="000000" w:themeColor="text1"/>
                <w:lang w:eastAsia="ar-SA"/>
              </w:rPr>
            </w:pPr>
          </w:p>
        </w:tc>
        <w:tc>
          <w:tcPr>
            <w:tcW w:w="1280" w:type="dxa"/>
          </w:tcPr>
          <w:p w:rsidR="00E1753F" w:rsidRPr="00035F28" w:rsidRDefault="00035F28" w:rsidP="00FE09C2">
            <w:pPr>
              <w:jc w:val="center"/>
              <w:rPr>
                <w:rFonts w:asciiTheme="majorBidi" w:eastAsia="Times New Roman" w:hAnsiTheme="majorBidi" w:cstheme="majorBidi"/>
                <w:color w:val="000000" w:themeColor="text1"/>
                <w:lang w:eastAsia="ar-SA"/>
              </w:rPr>
            </w:pPr>
            <w:r w:rsidRPr="00035F28">
              <w:rPr>
                <w:rFonts w:asciiTheme="majorBidi" w:eastAsia="Times New Roman" w:hAnsiTheme="majorBidi" w:cstheme="majorBidi"/>
                <w:color w:val="000000" w:themeColor="text1"/>
                <w:lang w:eastAsia="ar-SA"/>
              </w:rPr>
              <w:t>0</w:t>
            </w:r>
          </w:p>
        </w:tc>
      </w:tr>
      <w:tr w:rsidR="002A41C3" w:rsidRPr="0013535B" w:rsidTr="00057465">
        <w:trPr>
          <w:trHeight w:val="371"/>
        </w:trPr>
        <w:tc>
          <w:tcPr>
            <w:tcW w:w="3521" w:type="dxa"/>
          </w:tcPr>
          <w:p w:rsidR="002A41C3" w:rsidRPr="005912CF" w:rsidRDefault="002A41C3" w:rsidP="00E1753F">
            <w:pPr>
              <w:jc w:val="both"/>
              <w:rPr>
                <w:rFonts w:asciiTheme="majorBidi" w:eastAsia="Times New Roman" w:hAnsiTheme="majorBidi" w:cstheme="majorBidi"/>
                <w:b/>
                <w:bCs/>
                <w:sz w:val="20"/>
                <w:szCs w:val="20"/>
                <w:lang w:eastAsia="ar-SA"/>
              </w:rPr>
            </w:pPr>
            <w:r w:rsidRPr="005912CF">
              <w:rPr>
                <w:rFonts w:asciiTheme="majorBidi" w:eastAsia="Times New Roman" w:hAnsiTheme="majorBidi" w:cstheme="majorBidi"/>
                <w:b/>
                <w:bCs/>
                <w:sz w:val="20"/>
                <w:szCs w:val="20"/>
                <w:lang w:eastAsia="ar-SA"/>
              </w:rPr>
              <w:t xml:space="preserve">Total </w:t>
            </w:r>
          </w:p>
        </w:tc>
        <w:tc>
          <w:tcPr>
            <w:tcW w:w="1137" w:type="dxa"/>
          </w:tcPr>
          <w:p w:rsidR="002A41C3" w:rsidRPr="005912CF" w:rsidRDefault="00E15657" w:rsidP="00FE09C2">
            <w:pPr>
              <w:jc w:val="center"/>
              <w:rPr>
                <w:rFonts w:ascii="Arial" w:hAnsi="Arial" w:cs="Arial"/>
                <w:b/>
                <w:bCs/>
                <w:color w:val="000000" w:themeColor="text1"/>
                <w:sz w:val="20"/>
                <w:szCs w:val="20"/>
              </w:rPr>
            </w:pPr>
            <w:r w:rsidRPr="005912CF">
              <w:rPr>
                <w:rFonts w:ascii="Arial" w:hAnsi="Arial" w:cs="Arial"/>
                <w:b/>
                <w:bCs/>
                <w:color w:val="000000" w:themeColor="text1"/>
                <w:sz w:val="20"/>
                <w:szCs w:val="20"/>
              </w:rPr>
              <w:t>762,232</w:t>
            </w:r>
          </w:p>
        </w:tc>
        <w:tc>
          <w:tcPr>
            <w:tcW w:w="1551" w:type="dxa"/>
          </w:tcPr>
          <w:tbl>
            <w:tblPr>
              <w:tblW w:w="963" w:type="dxa"/>
              <w:tblLook w:val="04A0"/>
            </w:tblPr>
            <w:tblGrid>
              <w:gridCol w:w="963"/>
            </w:tblGrid>
            <w:tr w:rsidR="00E15657" w:rsidRPr="005912CF" w:rsidTr="00057465">
              <w:trPr>
                <w:trHeight w:val="251"/>
              </w:trPr>
              <w:tc>
                <w:tcPr>
                  <w:tcW w:w="963" w:type="dxa"/>
                  <w:vMerge w:val="restart"/>
                  <w:tcBorders>
                    <w:top w:val="nil"/>
                    <w:left w:val="nil"/>
                    <w:bottom w:val="nil"/>
                    <w:right w:val="nil"/>
                  </w:tcBorders>
                  <w:shd w:val="clear" w:color="auto" w:fill="auto"/>
                  <w:hideMark/>
                </w:tcPr>
                <w:p w:rsidR="00E15657" w:rsidRPr="005912CF" w:rsidRDefault="00E15657" w:rsidP="00CD54ED">
                  <w:pPr>
                    <w:framePr w:hSpace="180" w:wrap="around" w:vAnchor="text" w:hAnchor="margin" w:y="138"/>
                    <w:spacing w:after="0" w:line="240" w:lineRule="auto"/>
                    <w:jc w:val="center"/>
                    <w:rPr>
                      <w:rFonts w:ascii="Arial" w:eastAsia="Times New Roman" w:hAnsi="Arial" w:cs="Arial"/>
                      <w:b/>
                      <w:bCs/>
                      <w:color w:val="000000"/>
                      <w:sz w:val="20"/>
                      <w:szCs w:val="20"/>
                    </w:rPr>
                  </w:pPr>
                  <w:r w:rsidRPr="005912CF">
                    <w:rPr>
                      <w:rFonts w:ascii="Arial" w:eastAsia="Times New Roman" w:hAnsi="Arial" w:cs="Arial"/>
                      <w:b/>
                      <w:bCs/>
                      <w:color w:val="000000"/>
                      <w:sz w:val="20"/>
                      <w:szCs w:val="20"/>
                    </w:rPr>
                    <w:t>160,304</w:t>
                  </w:r>
                </w:p>
              </w:tc>
            </w:tr>
            <w:tr w:rsidR="00E15657" w:rsidRPr="005912CF" w:rsidTr="00057465">
              <w:trPr>
                <w:trHeight w:val="230"/>
              </w:trPr>
              <w:tc>
                <w:tcPr>
                  <w:tcW w:w="963" w:type="dxa"/>
                  <w:vMerge/>
                  <w:tcBorders>
                    <w:top w:val="nil"/>
                    <w:left w:val="nil"/>
                    <w:bottom w:val="nil"/>
                    <w:right w:val="nil"/>
                  </w:tcBorders>
                  <w:vAlign w:val="center"/>
                  <w:hideMark/>
                </w:tcPr>
                <w:p w:rsidR="00E15657" w:rsidRPr="005912CF" w:rsidRDefault="00E15657" w:rsidP="00CD54ED">
                  <w:pPr>
                    <w:framePr w:hSpace="180" w:wrap="around" w:vAnchor="text" w:hAnchor="margin" w:y="138"/>
                    <w:spacing w:after="0" w:line="240" w:lineRule="auto"/>
                    <w:jc w:val="center"/>
                    <w:rPr>
                      <w:rFonts w:ascii="Arial" w:eastAsia="Times New Roman" w:hAnsi="Arial" w:cs="Arial"/>
                      <w:color w:val="000000"/>
                      <w:sz w:val="20"/>
                      <w:szCs w:val="20"/>
                    </w:rPr>
                  </w:pPr>
                </w:p>
              </w:tc>
            </w:tr>
          </w:tbl>
          <w:p w:rsidR="002A41C3" w:rsidRPr="005912CF" w:rsidRDefault="002A41C3" w:rsidP="00FE09C2">
            <w:pPr>
              <w:jc w:val="center"/>
              <w:rPr>
                <w:rFonts w:asciiTheme="majorBidi" w:eastAsia="Times New Roman" w:hAnsiTheme="majorBidi" w:cstheme="majorBidi"/>
                <w:b/>
                <w:bCs/>
                <w:color w:val="FF0000"/>
                <w:sz w:val="20"/>
                <w:szCs w:val="20"/>
                <w:lang w:eastAsia="ar-SA"/>
              </w:rPr>
            </w:pPr>
          </w:p>
        </w:tc>
        <w:tc>
          <w:tcPr>
            <w:tcW w:w="1578" w:type="dxa"/>
          </w:tcPr>
          <w:p w:rsidR="00E15657" w:rsidRPr="005912CF" w:rsidRDefault="00E15657" w:rsidP="00FE09C2">
            <w:pPr>
              <w:jc w:val="center"/>
              <w:rPr>
                <w:rFonts w:ascii="Arial" w:hAnsi="Arial" w:cs="Arial"/>
                <w:b/>
                <w:bCs/>
                <w:color w:val="000000" w:themeColor="text1"/>
                <w:sz w:val="20"/>
                <w:szCs w:val="20"/>
              </w:rPr>
            </w:pPr>
            <w:r w:rsidRPr="005912CF">
              <w:rPr>
                <w:rFonts w:ascii="Arial" w:hAnsi="Arial" w:cs="Arial"/>
                <w:b/>
                <w:bCs/>
                <w:color w:val="000000" w:themeColor="text1"/>
                <w:sz w:val="20"/>
                <w:szCs w:val="20"/>
              </w:rPr>
              <w:t>148,233</w:t>
            </w:r>
          </w:p>
          <w:p w:rsidR="002A41C3" w:rsidRPr="005912CF" w:rsidRDefault="002A41C3" w:rsidP="00FE09C2">
            <w:pPr>
              <w:jc w:val="center"/>
              <w:rPr>
                <w:rFonts w:ascii="Arial" w:hAnsi="Arial" w:cs="Arial"/>
                <w:b/>
                <w:bCs/>
                <w:color w:val="000000" w:themeColor="text1"/>
                <w:sz w:val="20"/>
                <w:szCs w:val="20"/>
              </w:rPr>
            </w:pPr>
          </w:p>
        </w:tc>
        <w:tc>
          <w:tcPr>
            <w:tcW w:w="995" w:type="dxa"/>
          </w:tcPr>
          <w:p w:rsidR="00E15657" w:rsidRPr="005912CF" w:rsidRDefault="00E15657" w:rsidP="00FE09C2">
            <w:pPr>
              <w:jc w:val="center"/>
              <w:rPr>
                <w:rFonts w:ascii="Arial" w:hAnsi="Arial" w:cs="Arial"/>
                <w:b/>
                <w:bCs/>
                <w:color w:val="000000" w:themeColor="text1"/>
                <w:sz w:val="20"/>
                <w:szCs w:val="20"/>
              </w:rPr>
            </w:pPr>
            <w:r w:rsidRPr="005912CF">
              <w:rPr>
                <w:rFonts w:ascii="Arial" w:hAnsi="Arial" w:cs="Arial"/>
                <w:b/>
                <w:bCs/>
                <w:color w:val="000000" w:themeColor="text1"/>
                <w:sz w:val="20"/>
                <w:szCs w:val="20"/>
              </w:rPr>
              <w:t>601,927</w:t>
            </w:r>
          </w:p>
          <w:p w:rsidR="002A41C3" w:rsidRPr="005912CF" w:rsidRDefault="002A41C3" w:rsidP="00FE09C2">
            <w:pPr>
              <w:jc w:val="center"/>
              <w:rPr>
                <w:rFonts w:ascii="Arial" w:hAnsi="Arial" w:cs="Arial"/>
                <w:b/>
                <w:bCs/>
                <w:color w:val="000000" w:themeColor="text1"/>
                <w:sz w:val="20"/>
                <w:szCs w:val="20"/>
              </w:rPr>
            </w:pPr>
          </w:p>
        </w:tc>
        <w:tc>
          <w:tcPr>
            <w:tcW w:w="1280" w:type="dxa"/>
          </w:tcPr>
          <w:p w:rsidR="002A41C3" w:rsidRPr="005912CF" w:rsidRDefault="00E15657" w:rsidP="00057465">
            <w:pPr>
              <w:jc w:val="center"/>
              <w:rPr>
                <w:rFonts w:ascii="Arial" w:hAnsi="Arial" w:cs="Arial"/>
                <w:b/>
                <w:bCs/>
                <w:color w:val="000000" w:themeColor="text1"/>
                <w:sz w:val="20"/>
                <w:szCs w:val="20"/>
              </w:rPr>
            </w:pPr>
            <w:r w:rsidRPr="005912CF">
              <w:rPr>
                <w:rFonts w:ascii="Arial" w:hAnsi="Arial" w:cs="Arial"/>
                <w:b/>
                <w:bCs/>
                <w:color w:val="000000" w:themeColor="text1"/>
                <w:sz w:val="20"/>
                <w:szCs w:val="20"/>
              </w:rPr>
              <w:t>114,078</w:t>
            </w:r>
          </w:p>
        </w:tc>
      </w:tr>
    </w:tbl>
    <w:p w:rsidR="00434760" w:rsidRPr="00405DAF" w:rsidRDefault="00405DAF" w:rsidP="00405DAF">
      <w:pPr>
        <w:pStyle w:val="BodyText2"/>
        <w:bidi w:val="0"/>
        <w:jc w:val="left"/>
        <w:rPr>
          <w:rFonts w:asciiTheme="majorBidi" w:hAnsiTheme="majorBidi" w:cstheme="majorBidi"/>
          <w:sz w:val="20"/>
          <w:szCs w:val="20"/>
        </w:rPr>
      </w:pPr>
      <w:r>
        <w:rPr>
          <w:rFonts w:asciiTheme="majorBidi" w:hAnsiTheme="majorBidi" w:cstheme="majorBidi"/>
          <w:sz w:val="20"/>
          <w:szCs w:val="20"/>
        </w:rPr>
        <w:t>*</w:t>
      </w:r>
      <w:r w:rsidR="00A40D31" w:rsidRPr="00545610">
        <w:rPr>
          <w:rFonts w:asciiTheme="majorBidi" w:hAnsiTheme="majorBidi" w:cstheme="majorBidi"/>
          <w:sz w:val="20"/>
          <w:szCs w:val="20"/>
        </w:rPr>
        <w:t>Data excluded those parts of Jerusalem which were annexed by Israeli Occupation in 1967.</w:t>
      </w:r>
    </w:p>
    <w:p w:rsidR="00654210" w:rsidRDefault="00654210" w:rsidP="00074592">
      <w:pPr>
        <w:pStyle w:val="BodyText2"/>
        <w:bidi w:val="0"/>
        <w:jc w:val="both"/>
        <w:rPr>
          <w:rFonts w:asciiTheme="majorBidi" w:hAnsiTheme="majorBidi" w:cstheme="majorBidi"/>
          <w:sz w:val="22"/>
          <w:szCs w:val="22"/>
        </w:rPr>
      </w:pPr>
    </w:p>
    <w:p w:rsidR="002A41C3" w:rsidRDefault="002A41C3" w:rsidP="00107F0E">
      <w:pPr>
        <w:pStyle w:val="BodyText2"/>
        <w:numPr>
          <w:ilvl w:val="0"/>
          <w:numId w:val="24"/>
        </w:numPr>
        <w:bidi w:val="0"/>
        <w:jc w:val="both"/>
        <w:rPr>
          <w:rFonts w:asciiTheme="majorBidi" w:hAnsiTheme="majorBidi" w:cstheme="majorBidi"/>
          <w:sz w:val="22"/>
          <w:szCs w:val="22"/>
        </w:rPr>
      </w:pPr>
      <w:r>
        <w:rPr>
          <w:rFonts w:asciiTheme="majorBidi" w:hAnsiTheme="majorBidi" w:cstheme="majorBidi"/>
          <w:sz w:val="22"/>
          <w:szCs w:val="22"/>
        </w:rPr>
        <w:t xml:space="preserve">Total ICT output of the ICT sector at </w:t>
      </w:r>
      <w:r w:rsidR="003A2617">
        <w:rPr>
          <w:rFonts w:asciiTheme="majorBidi" w:hAnsiTheme="majorBidi" w:cstheme="majorBidi"/>
          <w:sz w:val="22"/>
          <w:szCs w:val="22"/>
        </w:rPr>
        <w:t>current</w:t>
      </w:r>
      <w:r>
        <w:rPr>
          <w:rFonts w:asciiTheme="majorBidi" w:hAnsiTheme="majorBidi" w:cstheme="majorBidi"/>
          <w:sz w:val="22"/>
          <w:szCs w:val="22"/>
        </w:rPr>
        <w:t xml:space="preserve"> prices was </w:t>
      </w:r>
      <w:r w:rsidRPr="0013535B">
        <w:rPr>
          <w:rFonts w:asciiTheme="majorBidi" w:hAnsiTheme="majorBidi" w:cstheme="majorBidi"/>
          <w:color w:val="000000" w:themeColor="text1"/>
          <w:sz w:val="22"/>
          <w:szCs w:val="22"/>
        </w:rPr>
        <w:t>USD</w:t>
      </w:r>
      <w:r>
        <w:rPr>
          <w:rFonts w:asciiTheme="majorBidi" w:hAnsiTheme="majorBidi" w:cstheme="majorBidi"/>
          <w:sz w:val="22"/>
          <w:szCs w:val="22"/>
        </w:rPr>
        <w:t xml:space="preserve"> </w:t>
      </w:r>
      <w:r w:rsidR="00107F0E">
        <w:rPr>
          <w:rFonts w:asciiTheme="majorBidi" w:hAnsiTheme="majorBidi" w:cstheme="majorBidi"/>
          <w:sz w:val="22"/>
          <w:szCs w:val="22"/>
        </w:rPr>
        <w:t>762</w:t>
      </w:r>
      <w:r>
        <w:rPr>
          <w:rFonts w:asciiTheme="majorBidi" w:hAnsiTheme="majorBidi" w:cstheme="majorBidi"/>
          <w:sz w:val="22"/>
          <w:szCs w:val="22"/>
        </w:rPr>
        <w:t xml:space="preserve"> million in 2017</w:t>
      </w:r>
      <w:r w:rsidR="001C2129">
        <w:rPr>
          <w:rFonts w:asciiTheme="majorBidi" w:hAnsiTheme="majorBidi" w:cstheme="majorBidi"/>
          <w:sz w:val="22"/>
          <w:szCs w:val="22"/>
        </w:rPr>
        <w:t xml:space="preserve">, telecommunication services constitute </w:t>
      </w:r>
      <w:r w:rsidR="00107F0E">
        <w:rPr>
          <w:rFonts w:asciiTheme="majorBidi" w:hAnsiTheme="majorBidi" w:cstheme="majorBidi"/>
          <w:sz w:val="22"/>
          <w:szCs w:val="22"/>
        </w:rPr>
        <w:t>7</w:t>
      </w:r>
      <w:r w:rsidR="001C2129">
        <w:rPr>
          <w:rFonts w:asciiTheme="majorBidi" w:hAnsiTheme="majorBidi" w:cstheme="majorBidi"/>
          <w:sz w:val="22"/>
          <w:szCs w:val="22"/>
        </w:rPr>
        <w:t>7% of the total ICT output.</w:t>
      </w:r>
    </w:p>
    <w:p w:rsidR="0086353A" w:rsidRDefault="001C2129" w:rsidP="00E6108E">
      <w:pPr>
        <w:pStyle w:val="BodyText2"/>
        <w:numPr>
          <w:ilvl w:val="0"/>
          <w:numId w:val="24"/>
        </w:numPr>
        <w:bidi w:val="0"/>
        <w:jc w:val="both"/>
        <w:rPr>
          <w:rFonts w:asciiTheme="majorBidi" w:hAnsiTheme="majorBidi" w:cstheme="majorBidi"/>
          <w:sz w:val="22"/>
          <w:szCs w:val="22"/>
        </w:rPr>
      </w:pPr>
      <w:r>
        <w:rPr>
          <w:rFonts w:asciiTheme="majorBidi" w:hAnsiTheme="majorBidi" w:cstheme="majorBidi"/>
          <w:sz w:val="22"/>
          <w:szCs w:val="22"/>
        </w:rPr>
        <w:t>Total value added for ICT s</w:t>
      </w:r>
      <w:r w:rsidR="00654210">
        <w:rPr>
          <w:rFonts w:asciiTheme="majorBidi" w:hAnsiTheme="majorBidi" w:cstheme="majorBidi"/>
          <w:sz w:val="22"/>
          <w:szCs w:val="22"/>
        </w:rPr>
        <w:t xml:space="preserve">pecific and related activities </w:t>
      </w:r>
      <w:r>
        <w:rPr>
          <w:rFonts w:asciiTheme="majorBidi" w:hAnsiTheme="majorBidi" w:cstheme="majorBidi"/>
          <w:sz w:val="22"/>
          <w:szCs w:val="22"/>
        </w:rPr>
        <w:t xml:space="preserve">for the year 2017 was USD </w:t>
      </w:r>
      <w:r w:rsidR="00E6108E">
        <w:rPr>
          <w:rFonts w:asciiTheme="majorBidi" w:hAnsiTheme="majorBidi" w:cstheme="majorBidi"/>
          <w:sz w:val="22"/>
          <w:szCs w:val="22"/>
        </w:rPr>
        <w:t>602</w:t>
      </w:r>
      <w:r>
        <w:rPr>
          <w:rFonts w:asciiTheme="majorBidi" w:hAnsiTheme="majorBidi" w:cstheme="majorBidi"/>
          <w:sz w:val="22"/>
          <w:szCs w:val="22"/>
        </w:rPr>
        <w:t xml:space="preserve"> million, it constitutes </w:t>
      </w:r>
      <w:r w:rsidR="00E6108E">
        <w:rPr>
          <w:rFonts w:asciiTheme="majorBidi" w:hAnsiTheme="majorBidi" w:cstheme="majorBidi"/>
          <w:sz w:val="22"/>
          <w:szCs w:val="22"/>
        </w:rPr>
        <w:t xml:space="preserve">4.2 </w:t>
      </w:r>
      <w:r w:rsidRPr="00E65318">
        <w:rPr>
          <w:rFonts w:asciiTheme="majorBidi" w:hAnsiTheme="majorBidi" w:cstheme="majorBidi"/>
          <w:sz w:val="22"/>
          <w:szCs w:val="22"/>
        </w:rPr>
        <w:t xml:space="preserve">of </w:t>
      </w:r>
      <w:r w:rsidR="0038749A">
        <w:rPr>
          <w:rFonts w:asciiTheme="majorBidi" w:hAnsiTheme="majorBidi" w:cstheme="majorBidi"/>
          <w:sz w:val="22"/>
          <w:szCs w:val="22"/>
        </w:rPr>
        <w:t xml:space="preserve"> </w:t>
      </w:r>
      <w:r w:rsidRPr="00E65318">
        <w:rPr>
          <w:rFonts w:asciiTheme="majorBidi" w:hAnsiTheme="majorBidi" w:cstheme="majorBidi"/>
          <w:sz w:val="22"/>
          <w:szCs w:val="22"/>
        </w:rPr>
        <w:t>the total GDP</w:t>
      </w:r>
      <w:r w:rsidR="003B6D9D">
        <w:rPr>
          <w:rFonts w:asciiTheme="majorBidi" w:hAnsiTheme="majorBidi" w:cstheme="majorBidi"/>
          <w:sz w:val="22"/>
          <w:szCs w:val="22"/>
        </w:rPr>
        <w:t xml:space="preserve"> at the </w:t>
      </w:r>
      <w:r w:rsidR="00686113">
        <w:rPr>
          <w:rFonts w:asciiTheme="majorBidi" w:hAnsiTheme="majorBidi" w:cstheme="majorBidi"/>
          <w:sz w:val="22"/>
          <w:szCs w:val="22"/>
        </w:rPr>
        <w:t>current</w:t>
      </w:r>
      <w:r w:rsidR="003B6D9D">
        <w:rPr>
          <w:rFonts w:asciiTheme="majorBidi" w:hAnsiTheme="majorBidi" w:cstheme="majorBidi"/>
          <w:sz w:val="22"/>
          <w:szCs w:val="22"/>
        </w:rPr>
        <w:t xml:space="preserve"> </w:t>
      </w:r>
      <w:r w:rsidR="00074592">
        <w:rPr>
          <w:rFonts w:asciiTheme="majorBidi" w:hAnsiTheme="majorBidi" w:cstheme="majorBidi"/>
          <w:sz w:val="22"/>
          <w:szCs w:val="22"/>
        </w:rPr>
        <w:t>prices</w:t>
      </w:r>
      <w:r w:rsidR="0038749A">
        <w:rPr>
          <w:rFonts w:asciiTheme="majorBidi" w:hAnsiTheme="majorBidi" w:cstheme="majorBidi"/>
          <w:sz w:val="22"/>
          <w:szCs w:val="22"/>
        </w:rPr>
        <w:t>, in which GDP at current prices for the year 2017 in Palestine was USD</w:t>
      </w:r>
      <w:r w:rsidR="0038749A">
        <w:rPr>
          <w:rFonts w:ascii="Arial" w:hAnsi="Arial" w:cs="Arial"/>
          <w:b/>
          <w:bCs/>
          <w:sz w:val="20"/>
          <w:szCs w:val="20"/>
        </w:rPr>
        <w:t xml:space="preserve"> </w:t>
      </w:r>
      <w:r w:rsidR="0038749A" w:rsidRPr="0038749A">
        <w:rPr>
          <w:rFonts w:asciiTheme="majorBidi" w:hAnsiTheme="majorBidi" w:cstheme="majorBidi"/>
          <w:sz w:val="22"/>
          <w:szCs w:val="22"/>
        </w:rPr>
        <w:t xml:space="preserve">14,498.1 </w:t>
      </w:r>
      <w:r w:rsidR="0038749A">
        <w:rPr>
          <w:rFonts w:asciiTheme="majorBidi" w:hAnsiTheme="majorBidi" w:cstheme="majorBidi"/>
          <w:sz w:val="22"/>
          <w:szCs w:val="22"/>
        </w:rPr>
        <w:t>million.</w:t>
      </w:r>
    </w:p>
    <w:p w:rsidR="00A203F4" w:rsidRPr="00A203F4" w:rsidRDefault="007214C1" w:rsidP="0067790B">
      <w:pPr>
        <w:pStyle w:val="BodyText2"/>
        <w:numPr>
          <w:ilvl w:val="0"/>
          <w:numId w:val="24"/>
        </w:numPr>
        <w:bidi w:val="0"/>
        <w:jc w:val="both"/>
        <w:rPr>
          <w:rFonts w:asciiTheme="majorBidi" w:hAnsiTheme="majorBidi" w:cstheme="majorBidi"/>
          <w:sz w:val="22"/>
          <w:szCs w:val="22"/>
        </w:rPr>
      </w:pPr>
      <w:r>
        <w:rPr>
          <w:rFonts w:asciiTheme="majorBidi" w:hAnsiTheme="majorBidi" w:cstheme="majorBidi"/>
          <w:sz w:val="22"/>
          <w:szCs w:val="22"/>
        </w:rPr>
        <w:t xml:space="preserve">Total </w:t>
      </w:r>
      <w:r w:rsidR="006E3CDA">
        <w:rPr>
          <w:rFonts w:asciiTheme="majorBidi" w:hAnsiTheme="majorBidi" w:cstheme="majorBidi"/>
          <w:sz w:val="22"/>
          <w:szCs w:val="22"/>
        </w:rPr>
        <w:t xml:space="preserve">ICT </w:t>
      </w:r>
      <w:r w:rsidR="002D6FBC">
        <w:rPr>
          <w:rFonts w:asciiTheme="majorBidi" w:hAnsiTheme="majorBidi" w:cstheme="majorBidi"/>
          <w:sz w:val="22"/>
          <w:szCs w:val="22"/>
        </w:rPr>
        <w:t>expenditure (</w:t>
      </w:r>
      <w:r w:rsidR="002D6FBC">
        <w:rPr>
          <w:sz w:val="22"/>
        </w:rPr>
        <w:t>Computer consulting services</w:t>
      </w:r>
      <w:r w:rsidR="002D6FBC">
        <w:rPr>
          <w:rFonts w:asciiTheme="majorBidi" w:hAnsiTheme="majorBidi" w:cstheme="majorBidi"/>
          <w:sz w:val="22"/>
          <w:szCs w:val="22"/>
        </w:rPr>
        <w:t xml:space="preserve">, </w:t>
      </w:r>
      <w:r w:rsidR="00E6108E">
        <w:rPr>
          <w:rFonts w:asciiTheme="majorBidi" w:hAnsiTheme="majorBidi" w:cstheme="majorBidi"/>
          <w:sz w:val="22"/>
          <w:szCs w:val="22"/>
        </w:rPr>
        <w:t xml:space="preserve">and </w:t>
      </w:r>
      <w:r w:rsidR="002D6FBC">
        <w:rPr>
          <w:sz w:val="22"/>
        </w:rPr>
        <w:t>Advertising</w:t>
      </w:r>
      <w:r w:rsidR="002D6FBC">
        <w:rPr>
          <w:rFonts w:asciiTheme="majorBidi" w:hAnsiTheme="majorBidi" w:cstheme="majorBidi"/>
          <w:sz w:val="22"/>
          <w:szCs w:val="22"/>
        </w:rPr>
        <w:t xml:space="preserve">, </w:t>
      </w:r>
      <w:r w:rsidR="004B3180">
        <w:rPr>
          <w:rFonts w:asciiTheme="majorBidi" w:hAnsiTheme="majorBidi" w:cstheme="majorBidi"/>
          <w:sz w:val="22"/>
          <w:szCs w:val="22"/>
        </w:rPr>
        <w:t xml:space="preserve">and </w:t>
      </w:r>
      <w:r w:rsidR="00477485">
        <w:rPr>
          <w:sz w:val="22"/>
        </w:rPr>
        <w:t>Post, telegraph, telephone and fax+ Internet subscription</w:t>
      </w:r>
      <w:r w:rsidR="00477485">
        <w:rPr>
          <w:rFonts w:asciiTheme="majorBidi" w:hAnsiTheme="majorBidi" w:cstheme="majorBidi"/>
          <w:sz w:val="22"/>
          <w:szCs w:val="22"/>
        </w:rPr>
        <w:t>)</w:t>
      </w:r>
      <w:r w:rsidR="002D6FBC">
        <w:rPr>
          <w:rFonts w:asciiTheme="majorBidi" w:hAnsiTheme="majorBidi" w:cstheme="majorBidi"/>
          <w:sz w:val="22"/>
          <w:szCs w:val="22"/>
        </w:rPr>
        <w:t xml:space="preserve"> for </w:t>
      </w:r>
      <w:r w:rsidR="00F3727D">
        <w:rPr>
          <w:rFonts w:asciiTheme="majorBidi" w:hAnsiTheme="majorBidi" w:cstheme="majorBidi"/>
          <w:sz w:val="22"/>
          <w:szCs w:val="22"/>
        </w:rPr>
        <w:t xml:space="preserve">enterprises in </w:t>
      </w:r>
      <w:r w:rsidR="002D6FBC">
        <w:rPr>
          <w:rFonts w:asciiTheme="majorBidi" w:hAnsiTheme="majorBidi" w:cstheme="majorBidi"/>
          <w:sz w:val="22"/>
          <w:szCs w:val="22"/>
        </w:rPr>
        <w:t>non financial sector</w:t>
      </w:r>
      <w:r w:rsidR="00F3727D">
        <w:rPr>
          <w:rFonts w:asciiTheme="majorBidi" w:hAnsiTheme="majorBidi" w:cstheme="majorBidi"/>
          <w:sz w:val="22"/>
          <w:szCs w:val="22"/>
        </w:rPr>
        <w:t xml:space="preserve"> was </w:t>
      </w:r>
      <w:r w:rsidR="00F3727D" w:rsidRPr="0013535B">
        <w:rPr>
          <w:rFonts w:asciiTheme="majorBidi" w:hAnsiTheme="majorBidi" w:cstheme="majorBidi"/>
          <w:color w:val="000000" w:themeColor="text1"/>
          <w:sz w:val="22"/>
          <w:szCs w:val="22"/>
        </w:rPr>
        <w:t>USD</w:t>
      </w:r>
      <w:r w:rsidR="00F3727D">
        <w:rPr>
          <w:rFonts w:asciiTheme="majorBidi" w:hAnsiTheme="majorBidi" w:cstheme="majorBidi"/>
          <w:sz w:val="22"/>
          <w:szCs w:val="22"/>
        </w:rPr>
        <w:t xml:space="preserve"> </w:t>
      </w:r>
      <w:r w:rsidR="0067790B">
        <w:rPr>
          <w:rFonts w:asciiTheme="majorBidi" w:hAnsiTheme="majorBidi" w:cstheme="majorBidi"/>
          <w:sz w:val="22"/>
          <w:szCs w:val="22"/>
        </w:rPr>
        <w:t xml:space="preserve">145 </w:t>
      </w:r>
      <w:r w:rsidR="00F3727D">
        <w:rPr>
          <w:rFonts w:asciiTheme="majorBidi" w:hAnsiTheme="majorBidi" w:cstheme="majorBidi"/>
          <w:sz w:val="22"/>
          <w:szCs w:val="22"/>
        </w:rPr>
        <w:t xml:space="preserve">million, </w:t>
      </w:r>
      <w:r w:rsidR="004B3630">
        <w:rPr>
          <w:rFonts w:asciiTheme="majorBidi" w:hAnsiTheme="majorBidi" w:cstheme="majorBidi"/>
          <w:sz w:val="22"/>
          <w:szCs w:val="22"/>
        </w:rPr>
        <w:t xml:space="preserve">which constitute </w:t>
      </w:r>
      <w:r w:rsidR="0067790B">
        <w:rPr>
          <w:rFonts w:asciiTheme="majorBidi" w:hAnsiTheme="majorBidi" w:cstheme="majorBidi"/>
          <w:sz w:val="22"/>
          <w:szCs w:val="22"/>
        </w:rPr>
        <w:t>3.1% of total intermediate consumption and 19%</w:t>
      </w:r>
      <w:r w:rsidR="004B3630">
        <w:rPr>
          <w:rFonts w:asciiTheme="majorBidi" w:hAnsiTheme="majorBidi" w:cstheme="majorBidi"/>
          <w:sz w:val="22"/>
          <w:szCs w:val="22"/>
        </w:rPr>
        <w:t xml:space="preserve"> of total ICT output.</w:t>
      </w:r>
      <w:r w:rsidR="00F3727D">
        <w:rPr>
          <w:rFonts w:asciiTheme="majorBidi" w:hAnsiTheme="majorBidi" w:cstheme="majorBidi"/>
          <w:sz w:val="22"/>
          <w:szCs w:val="22"/>
        </w:rPr>
        <w:t xml:space="preserve">  </w:t>
      </w:r>
      <w:r w:rsidR="00477485">
        <w:rPr>
          <w:rFonts w:asciiTheme="majorBidi" w:hAnsiTheme="majorBidi" w:cstheme="majorBidi"/>
          <w:sz w:val="22"/>
          <w:szCs w:val="22"/>
        </w:rPr>
        <w:t xml:space="preserve">ICT </w:t>
      </w:r>
      <w:r w:rsidR="006E3CDA">
        <w:rPr>
          <w:rFonts w:asciiTheme="majorBidi" w:hAnsiTheme="majorBidi" w:cstheme="majorBidi"/>
          <w:sz w:val="22"/>
          <w:szCs w:val="22"/>
        </w:rPr>
        <w:t>intermediate consumption</w:t>
      </w:r>
      <w:r w:rsidR="0038749A">
        <w:rPr>
          <w:rFonts w:asciiTheme="majorBidi" w:hAnsiTheme="majorBidi" w:cstheme="majorBidi"/>
          <w:sz w:val="22"/>
          <w:szCs w:val="22"/>
        </w:rPr>
        <w:t>, and intermediate consumption and share of ICT intermediate consumption</w:t>
      </w:r>
      <w:r w:rsidR="006E3CDA">
        <w:rPr>
          <w:rFonts w:asciiTheme="majorBidi" w:hAnsiTheme="majorBidi" w:cstheme="majorBidi"/>
          <w:sz w:val="22"/>
          <w:szCs w:val="22"/>
        </w:rPr>
        <w:t xml:space="preserve"> </w:t>
      </w:r>
      <w:r w:rsidR="00CF493A">
        <w:rPr>
          <w:rFonts w:asciiTheme="majorBidi" w:hAnsiTheme="majorBidi" w:cstheme="majorBidi"/>
          <w:sz w:val="22"/>
          <w:szCs w:val="22"/>
        </w:rPr>
        <w:t xml:space="preserve"> for </w:t>
      </w:r>
      <w:r w:rsidR="00F3727D">
        <w:rPr>
          <w:rFonts w:asciiTheme="majorBidi" w:hAnsiTheme="majorBidi" w:cstheme="majorBidi"/>
          <w:sz w:val="22"/>
          <w:szCs w:val="22"/>
        </w:rPr>
        <w:t xml:space="preserve"> enterprises in </w:t>
      </w:r>
      <w:r w:rsidR="00CF493A">
        <w:rPr>
          <w:rFonts w:asciiTheme="majorBidi" w:hAnsiTheme="majorBidi" w:cstheme="majorBidi"/>
          <w:sz w:val="22"/>
          <w:szCs w:val="22"/>
        </w:rPr>
        <w:t xml:space="preserve">all </w:t>
      </w:r>
      <w:r w:rsidR="002D6FBC">
        <w:rPr>
          <w:rFonts w:asciiTheme="majorBidi" w:hAnsiTheme="majorBidi" w:cstheme="majorBidi"/>
          <w:sz w:val="22"/>
          <w:szCs w:val="22"/>
        </w:rPr>
        <w:t xml:space="preserve">economic </w:t>
      </w:r>
      <w:r w:rsidR="00CF493A">
        <w:rPr>
          <w:rFonts w:asciiTheme="majorBidi" w:hAnsiTheme="majorBidi" w:cstheme="majorBidi"/>
          <w:sz w:val="22"/>
          <w:szCs w:val="22"/>
        </w:rPr>
        <w:t>activities</w:t>
      </w:r>
      <w:r w:rsidR="0038749A">
        <w:rPr>
          <w:rFonts w:asciiTheme="majorBidi" w:hAnsiTheme="majorBidi" w:cstheme="majorBidi"/>
          <w:sz w:val="22"/>
          <w:szCs w:val="22"/>
        </w:rPr>
        <w:t xml:space="preserve"> for the year 2017</w:t>
      </w:r>
      <w:r w:rsidR="00CF493A">
        <w:rPr>
          <w:rFonts w:asciiTheme="majorBidi" w:hAnsiTheme="majorBidi" w:cstheme="majorBidi"/>
          <w:sz w:val="22"/>
          <w:szCs w:val="22"/>
        </w:rPr>
        <w:t xml:space="preserve"> </w:t>
      </w:r>
      <w:r w:rsidR="0038749A">
        <w:rPr>
          <w:rFonts w:asciiTheme="majorBidi" w:hAnsiTheme="majorBidi" w:cstheme="majorBidi"/>
          <w:sz w:val="22"/>
          <w:szCs w:val="22"/>
        </w:rPr>
        <w:t>were</w:t>
      </w:r>
      <w:r w:rsidR="00F3727D">
        <w:rPr>
          <w:rFonts w:asciiTheme="majorBidi" w:hAnsiTheme="majorBidi" w:cstheme="majorBidi"/>
          <w:sz w:val="22"/>
          <w:szCs w:val="22"/>
        </w:rPr>
        <w:t xml:space="preserve"> </w:t>
      </w:r>
      <w:r w:rsidR="006E3CDA">
        <w:rPr>
          <w:rFonts w:asciiTheme="majorBidi" w:hAnsiTheme="majorBidi" w:cstheme="majorBidi"/>
          <w:sz w:val="22"/>
          <w:szCs w:val="22"/>
        </w:rPr>
        <w:t>as in the table below:</w:t>
      </w:r>
    </w:p>
    <w:p w:rsidR="006E3CDA" w:rsidRPr="00545610" w:rsidRDefault="00545610" w:rsidP="00057465">
      <w:pPr>
        <w:pStyle w:val="BodyText2"/>
        <w:bidi w:val="0"/>
        <w:jc w:val="center"/>
        <w:rPr>
          <w:rFonts w:asciiTheme="majorBidi" w:hAnsiTheme="majorBidi" w:cstheme="majorBidi"/>
          <w:sz w:val="20"/>
          <w:szCs w:val="20"/>
        </w:rPr>
      </w:pPr>
      <w:r w:rsidRPr="00545610">
        <w:rPr>
          <w:rFonts w:asciiTheme="majorBidi" w:hAnsiTheme="majorBidi" w:cstheme="majorBidi"/>
          <w:b/>
          <w:bCs/>
          <w:color w:val="000000" w:themeColor="text1"/>
          <w:sz w:val="20"/>
          <w:szCs w:val="20"/>
        </w:rPr>
        <w:t>Table 3:</w:t>
      </w:r>
      <w:r w:rsidRPr="00545610">
        <w:rPr>
          <w:rFonts w:asciiTheme="majorBidi" w:hAnsiTheme="majorBidi" w:cstheme="majorBidi"/>
          <w:color w:val="000000" w:themeColor="text1"/>
          <w:sz w:val="20"/>
          <w:szCs w:val="20"/>
        </w:rPr>
        <w:t xml:space="preserve"> </w:t>
      </w:r>
      <w:r w:rsidRPr="00545610">
        <w:rPr>
          <w:rFonts w:asciiTheme="majorBidi" w:hAnsiTheme="majorBidi" w:cstheme="majorBidi"/>
          <w:b/>
          <w:bCs/>
          <w:color w:val="000000" w:themeColor="text1"/>
          <w:sz w:val="20"/>
          <w:szCs w:val="20"/>
        </w:rPr>
        <w:t>Total ICT  Intermediate Consumption in All Economic Activities in Palestine*, 2017[</w:t>
      </w:r>
      <w:r w:rsidR="00057465">
        <w:rPr>
          <w:rFonts w:asciiTheme="majorBidi" w:hAnsiTheme="majorBidi" w:cstheme="majorBidi"/>
          <w:b/>
          <w:bCs/>
          <w:color w:val="000000" w:themeColor="text1"/>
          <w:sz w:val="20"/>
          <w:szCs w:val="20"/>
        </w:rPr>
        <w:t>4</w:t>
      </w:r>
      <w:r w:rsidRPr="00545610">
        <w:rPr>
          <w:rFonts w:asciiTheme="majorBidi" w:hAnsiTheme="majorBidi" w:cstheme="majorBidi"/>
          <w:b/>
          <w:bCs/>
          <w:color w:val="000000" w:themeColor="text1"/>
          <w:sz w:val="20"/>
          <w:szCs w:val="20"/>
        </w:rPr>
        <w:t>]</w:t>
      </w:r>
    </w:p>
    <w:tbl>
      <w:tblPr>
        <w:tblStyle w:val="TableGrid"/>
        <w:tblpPr w:leftFromText="180" w:rightFromText="180" w:vertAnchor="text" w:horzAnchor="margin" w:tblpX="-601" w:tblpY="138"/>
        <w:tblW w:w="11023" w:type="dxa"/>
        <w:tblLook w:val="04A0"/>
      </w:tblPr>
      <w:tblGrid>
        <w:gridCol w:w="2268"/>
        <w:gridCol w:w="108"/>
        <w:gridCol w:w="2127"/>
        <w:gridCol w:w="1701"/>
        <w:gridCol w:w="1984"/>
        <w:gridCol w:w="2126"/>
        <w:gridCol w:w="709"/>
      </w:tblGrid>
      <w:tr w:rsidR="00632F4B" w:rsidRPr="0013535B" w:rsidTr="00DD0DEC">
        <w:tc>
          <w:tcPr>
            <w:tcW w:w="2268" w:type="dxa"/>
            <w:tcBorders>
              <w:top w:val="nil"/>
              <w:left w:val="nil"/>
              <w:bottom w:val="single" w:sz="4" w:space="0" w:color="auto"/>
              <w:right w:val="nil"/>
            </w:tcBorders>
          </w:tcPr>
          <w:p w:rsidR="00632F4B" w:rsidRPr="00545610" w:rsidRDefault="00632F4B" w:rsidP="00405931">
            <w:pPr>
              <w:jc w:val="right"/>
              <w:rPr>
                <w:rFonts w:asciiTheme="majorBidi" w:hAnsiTheme="majorBidi" w:cstheme="majorBidi"/>
                <w:b/>
                <w:bCs/>
                <w:color w:val="000000" w:themeColor="text1"/>
                <w:sz w:val="20"/>
                <w:szCs w:val="20"/>
              </w:rPr>
            </w:pPr>
          </w:p>
        </w:tc>
        <w:tc>
          <w:tcPr>
            <w:tcW w:w="8046" w:type="dxa"/>
            <w:gridSpan w:val="5"/>
            <w:tcBorders>
              <w:top w:val="nil"/>
              <w:left w:val="nil"/>
              <w:bottom w:val="single" w:sz="4" w:space="0" w:color="auto"/>
              <w:right w:val="nil"/>
            </w:tcBorders>
          </w:tcPr>
          <w:p w:rsidR="00632F4B" w:rsidRDefault="00632F4B" w:rsidP="00405931">
            <w:pPr>
              <w:jc w:val="right"/>
              <w:rPr>
                <w:rFonts w:asciiTheme="majorBidi" w:eastAsia="Times New Roman" w:hAnsiTheme="majorBidi" w:cstheme="majorBidi"/>
                <w:b/>
                <w:bCs/>
                <w:lang w:eastAsia="ar-SA"/>
              </w:rPr>
            </w:pPr>
            <w:r w:rsidRPr="00545610">
              <w:rPr>
                <w:rFonts w:asciiTheme="majorBidi" w:hAnsiTheme="majorBidi" w:cstheme="majorBidi"/>
                <w:b/>
                <w:bCs/>
                <w:color w:val="000000" w:themeColor="text1"/>
                <w:sz w:val="20"/>
                <w:szCs w:val="20"/>
              </w:rPr>
              <w:t>(Value in USD 1000)</w:t>
            </w:r>
          </w:p>
        </w:tc>
        <w:tc>
          <w:tcPr>
            <w:tcW w:w="709" w:type="dxa"/>
            <w:tcBorders>
              <w:top w:val="nil"/>
              <w:left w:val="nil"/>
              <w:bottom w:val="single" w:sz="4" w:space="0" w:color="auto"/>
              <w:right w:val="nil"/>
            </w:tcBorders>
          </w:tcPr>
          <w:p w:rsidR="00632F4B" w:rsidRPr="00545610" w:rsidRDefault="00632F4B" w:rsidP="00405931">
            <w:pPr>
              <w:jc w:val="right"/>
              <w:rPr>
                <w:rFonts w:asciiTheme="majorBidi" w:hAnsiTheme="majorBidi" w:cstheme="majorBidi"/>
                <w:b/>
                <w:bCs/>
                <w:color w:val="000000" w:themeColor="text1"/>
                <w:sz w:val="20"/>
                <w:szCs w:val="20"/>
              </w:rPr>
            </w:pPr>
          </w:p>
        </w:tc>
      </w:tr>
      <w:tr w:rsidR="00632F4B" w:rsidRPr="0013535B" w:rsidTr="00DD0DEC">
        <w:tc>
          <w:tcPr>
            <w:tcW w:w="2376" w:type="dxa"/>
            <w:gridSpan w:val="2"/>
            <w:tcBorders>
              <w:top w:val="single" w:sz="4" w:space="0" w:color="auto"/>
            </w:tcBorders>
          </w:tcPr>
          <w:p w:rsidR="00632F4B" w:rsidRPr="0013535B" w:rsidRDefault="00632F4B" w:rsidP="00632F4B">
            <w:pPr>
              <w:jc w:val="both"/>
              <w:rPr>
                <w:rFonts w:asciiTheme="majorBidi" w:eastAsia="Times New Roman" w:hAnsiTheme="majorBidi" w:cstheme="majorBidi"/>
                <w:b/>
                <w:bCs/>
                <w:lang w:eastAsia="ar-SA"/>
              </w:rPr>
            </w:pPr>
            <w:r>
              <w:rPr>
                <w:rFonts w:asciiTheme="majorBidi" w:eastAsia="Times New Roman" w:hAnsiTheme="majorBidi" w:cstheme="majorBidi"/>
                <w:b/>
                <w:bCs/>
                <w:lang w:eastAsia="ar-SA"/>
              </w:rPr>
              <w:t>Economic</w:t>
            </w:r>
            <w:r w:rsidRPr="0013535B">
              <w:rPr>
                <w:rFonts w:asciiTheme="majorBidi" w:eastAsia="Times New Roman" w:hAnsiTheme="majorBidi" w:cstheme="majorBidi"/>
                <w:b/>
                <w:bCs/>
                <w:lang w:eastAsia="ar-SA"/>
              </w:rPr>
              <w:t xml:space="preserve"> Activit</w:t>
            </w:r>
            <w:r>
              <w:rPr>
                <w:rFonts w:asciiTheme="majorBidi" w:eastAsia="Times New Roman" w:hAnsiTheme="majorBidi" w:cstheme="majorBidi"/>
                <w:b/>
                <w:bCs/>
                <w:lang w:eastAsia="ar-SA"/>
              </w:rPr>
              <w:t>ies</w:t>
            </w:r>
          </w:p>
        </w:tc>
        <w:tc>
          <w:tcPr>
            <w:tcW w:w="2127" w:type="dxa"/>
            <w:tcBorders>
              <w:top w:val="single" w:sz="4" w:space="0" w:color="auto"/>
            </w:tcBorders>
          </w:tcPr>
          <w:p w:rsidR="00632F4B" w:rsidRPr="0013535B" w:rsidRDefault="00632F4B" w:rsidP="00632F4B">
            <w:pPr>
              <w:rPr>
                <w:rFonts w:asciiTheme="majorBidi" w:eastAsia="Times New Roman" w:hAnsiTheme="majorBidi" w:cstheme="majorBidi"/>
                <w:b/>
                <w:bCs/>
                <w:lang w:eastAsia="ar-SA"/>
              </w:rPr>
            </w:pPr>
            <w:r>
              <w:rPr>
                <w:rFonts w:asciiTheme="majorBidi" w:eastAsia="Times New Roman" w:hAnsiTheme="majorBidi" w:cstheme="majorBidi"/>
                <w:b/>
                <w:bCs/>
                <w:lang w:eastAsia="ar-SA"/>
              </w:rPr>
              <w:t xml:space="preserve">Used  ISIC Division </w:t>
            </w:r>
          </w:p>
        </w:tc>
        <w:tc>
          <w:tcPr>
            <w:tcW w:w="1701" w:type="dxa"/>
            <w:tcBorders>
              <w:top w:val="single" w:sz="4" w:space="0" w:color="auto"/>
            </w:tcBorders>
          </w:tcPr>
          <w:p w:rsidR="00632F4B" w:rsidRPr="0013535B" w:rsidRDefault="00632F4B" w:rsidP="00632F4B">
            <w:pPr>
              <w:rPr>
                <w:rFonts w:asciiTheme="majorBidi" w:eastAsia="Times New Roman" w:hAnsiTheme="majorBidi" w:cstheme="majorBidi"/>
                <w:b/>
                <w:bCs/>
                <w:lang w:eastAsia="ar-SA"/>
              </w:rPr>
            </w:pPr>
            <w:r>
              <w:rPr>
                <w:rFonts w:asciiTheme="majorBidi" w:eastAsia="Times New Roman" w:hAnsiTheme="majorBidi" w:cstheme="majorBidi"/>
                <w:b/>
                <w:bCs/>
                <w:lang w:eastAsia="ar-SA"/>
              </w:rPr>
              <w:t xml:space="preserve">Intermediate Consumption </w:t>
            </w:r>
          </w:p>
        </w:tc>
        <w:tc>
          <w:tcPr>
            <w:tcW w:w="1984" w:type="dxa"/>
            <w:tcBorders>
              <w:top w:val="single" w:sz="4" w:space="0" w:color="auto"/>
            </w:tcBorders>
          </w:tcPr>
          <w:p w:rsidR="00632F4B" w:rsidRPr="0013535B" w:rsidRDefault="00632F4B" w:rsidP="00632F4B">
            <w:pPr>
              <w:rPr>
                <w:rFonts w:asciiTheme="majorBidi" w:eastAsia="Times New Roman" w:hAnsiTheme="majorBidi" w:cstheme="majorBidi"/>
                <w:b/>
                <w:bCs/>
                <w:lang w:eastAsia="ar-SA"/>
              </w:rPr>
            </w:pPr>
            <w:r>
              <w:rPr>
                <w:rFonts w:asciiTheme="majorBidi" w:eastAsia="Times New Roman" w:hAnsiTheme="majorBidi" w:cstheme="majorBidi"/>
                <w:b/>
                <w:bCs/>
                <w:lang w:eastAsia="ar-SA"/>
              </w:rPr>
              <w:t xml:space="preserve">ICT Intermediate </w:t>
            </w:r>
            <w:r w:rsidRPr="0013535B">
              <w:rPr>
                <w:rFonts w:asciiTheme="majorBidi" w:eastAsia="Times New Roman" w:hAnsiTheme="majorBidi" w:cstheme="majorBidi"/>
                <w:b/>
                <w:bCs/>
                <w:lang w:eastAsia="ar-SA"/>
              </w:rPr>
              <w:t>Consumption</w:t>
            </w:r>
          </w:p>
        </w:tc>
        <w:tc>
          <w:tcPr>
            <w:tcW w:w="2835" w:type="dxa"/>
            <w:gridSpan w:val="2"/>
            <w:tcBorders>
              <w:top w:val="single" w:sz="4" w:space="0" w:color="auto"/>
            </w:tcBorders>
          </w:tcPr>
          <w:p w:rsidR="00632F4B" w:rsidRDefault="00632F4B" w:rsidP="00632F4B">
            <w:pPr>
              <w:rPr>
                <w:rFonts w:asciiTheme="majorBidi" w:eastAsia="Times New Roman" w:hAnsiTheme="majorBidi" w:cstheme="majorBidi"/>
                <w:b/>
                <w:bCs/>
                <w:lang w:eastAsia="ar-SA"/>
              </w:rPr>
            </w:pPr>
            <w:r>
              <w:rPr>
                <w:rFonts w:asciiTheme="majorBidi" w:eastAsia="Times New Roman" w:hAnsiTheme="majorBidi" w:cstheme="majorBidi"/>
                <w:b/>
                <w:bCs/>
                <w:lang w:eastAsia="ar-SA"/>
              </w:rPr>
              <w:t xml:space="preserve">Share of ICT Intermediate Consumption </w:t>
            </w:r>
            <w:r w:rsidR="00932461">
              <w:rPr>
                <w:rFonts w:asciiTheme="majorBidi" w:eastAsia="Times New Roman" w:hAnsiTheme="majorBidi" w:cstheme="majorBidi"/>
                <w:b/>
                <w:bCs/>
                <w:lang w:eastAsia="ar-SA"/>
              </w:rPr>
              <w:t>(%)</w:t>
            </w:r>
          </w:p>
        </w:tc>
      </w:tr>
      <w:tr w:rsidR="00632F4B" w:rsidRPr="0013535B" w:rsidTr="00DD0DEC">
        <w:tc>
          <w:tcPr>
            <w:tcW w:w="2376" w:type="dxa"/>
            <w:gridSpan w:val="2"/>
          </w:tcPr>
          <w:p w:rsidR="00632F4B" w:rsidRPr="002A41C3" w:rsidRDefault="00632F4B" w:rsidP="00632F4B">
            <w:pPr>
              <w:jc w:val="both"/>
              <w:rPr>
                <w:rFonts w:asciiTheme="majorBidi" w:eastAsia="Times New Roman" w:hAnsiTheme="majorBidi" w:cstheme="majorBidi"/>
                <w:b/>
                <w:bCs/>
                <w:lang w:eastAsia="ar-SA"/>
              </w:rPr>
            </w:pPr>
            <w:r>
              <w:rPr>
                <w:rFonts w:asciiTheme="majorBidi" w:eastAsia="Times New Roman" w:hAnsiTheme="majorBidi" w:cstheme="majorBidi"/>
                <w:b/>
                <w:bCs/>
                <w:lang w:eastAsia="ar-SA"/>
              </w:rPr>
              <w:t xml:space="preserve">Industry </w:t>
            </w:r>
          </w:p>
        </w:tc>
        <w:tc>
          <w:tcPr>
            <w:tcW w:w="2127" w:type="dxa"/>
          </w:tcPr>
          <w:p w:rsidR="00632F4B" w:rsidRPr="0013535B" w:rsidRDefault="00632F4B" w:rsidP="00692F00">
            <w:pPr>
              <w:jc w:val="center"/>
              <w:rPr>
                <w:rFonts w:asciiTheme="majorBidi" w:eastAsia="Times New Roman" w:hAnsiTheme="majorBidi" w:cstheme="majorBidi"/>
                <w:lang w:eastAsia="ar-SA"/>
              </w:rPr>
            </w:pPr>
            <w:r>
              <w:rPr>
                <w:rFonts w:asciiTheme="majorBidi" w:eastAsia="Times New Roman" w:hAnsiTheme="majorBidi" w:cstheme="majorBidi"/>
                <w:lang w:eastAsia="ar-SA"/>
              </w:rPr>
              <w:t>05-39</w:t>
            </w:r>
          </w:p>
        </w:tc>
        <w:tc>
          <w:tcPr>
            <w:tcW w:w="1701" w:type="dxa"/>
          </w:tcPr>
          <w:p w:rsidR="00632F4B" w:rsidRPr="003820BA" w:rsidRDefault="001E5C40" w:rsidP="00692F00">
            <w:pPr>
              <w:jc w:val="center"/>
              <w:rPr>
                <w:rFonts w:asciiTheme="majorBidi" w:eastAsia="Times New Roman" w:hAnsiTheme="majorBidi" w:cstheme="majorBidi"/>
                <w:lang w:eastAsia="ar-SA"/>
              </w:rPr>
            </w:pPr>
            <w:r>
              <w:rPr>
                <w:rFonts w:asciiTheme="majorBidi" w:eastAsia="Times New Roman" w:hAnsiTheme="majorBidi" w:cstheme="majorBidi"/>
                <w:lang w:eastAsia="ar-SA"/>
              </w:rPr>
              <w:t>2,805,932</w:t>
            </w:r>
          </w:p>
        </w:tc>
        <w:tc>
          <w:tcPr>
            <w:tcW w:w="1984" w:type="dxa"/>
          </w:tcPr>
          <w:p w:rsidR="00632F4B" w:rsidRPr="003820BA" w:rsidRDefault="001E5C40" w:rsidP="00692F00">
            <w:pPr>
              <w:jc w:val="center"/>
              <w:rPr>
                <w:rFonts w:asciiTheme="majorBidi" w:eastAsia="Times New Roman" w:hAnsiTheme="majorBidi" w:cstheme="majorBidi"/>
                <w:lang w:eastAsia="ar-SA"/>
              </w:rPr>
            </w:pPr>
            <w:r>
              <w:rPr>
                <w:rFonts w:asciiTheme="majorBidi" w:eastAsia="Times New Roman" w:hAnsiTheme="majorBidi" w:cstheme="majorBidi"/>
                <w:lang w:eastAsia="ar-SA"/>
              </w:rPr>
              <w:t>23,075</w:t>
            </w:r>
          </w:p>
        </w:tc>
        <w:tc>
          <w:tcPr>
            <w:tcW w:w="2835" w:type="dxa"/>
            <w:gridSpan w:val="2"/>
          </w:tcPr>
          <w:p w:rsidR="00632F4B" w:rsidRPr="003820BA" w:rsidRDefault="00932461" w:rsidP="00692F00">
            <w:pPr>
              <w:jc w:val="center"/>
              <w:rPr>
                <w:rFonts w:asciiTheme="majorBidi" w:eastAsia="Times New Roman" w:hAnsiTheme="majorBidi" w:cstheme="majorBidi"/>
                <w:rtl/>
                <w:lang w:eastAsia="ar-SA"/>
              </w:rPr>
            </w:pPr>
            <w:r>
              <w:rPr>
                <w:rFonts w:asciiTheme="majorBidi" w:eastAsia="Times New Roman" w:hAnsiTheme="majorBidi" w:cstheme="majorBidi"/>
                <w:lang w:eastAsia="ar-SA"/>
              </w:rPr>
              <w:t>0.8</w:t>
            </w:r>
          </w:p>
        </w:tc>
      </w:tr>
      <w:tr w:rsidR="00632F4B" w:rsidRPr="0013535B" w:rsidTr="00DD0DEC">
        <w:tc>
          <w:tcPr>
            <w:tcW w:w="2376" w:type="dxa"/>
            <w:gridSpan w:val="2"/>
          </w:tcPr>
          <w:p w:rsidR="00632F4B" w:rsidRPr="002A41C3" w:rsidRDefault="00632F4B" w:rsidP="00632F4B">
            <w:pPr>
              <w:jc w:val="both"/>
              <w:rPr>
                <w:rFonts w:asciiTheme="majorBidi" w:eastAsia="Times New Roman" w:hAnsiTheme="majorBidi" w:cstheme="majorBidi"/>
                <w:b/>
                <w:bCs/>
                <w:lang w:eastAsia="ar-SA"/>
              </w:rPr>
            </w:pPr>
            <w:r>
              <w:rPr>
                <w:rFonts w:asciiTheme="majorBidi" w:eastAsia="Times New Roman" w:hAnsiTheme="majorBidi" w:cstheme="majorBidi"/>
                <w:b/>
                <w:bCs/>
                <w:lang w:eastAsia="ar-SA"/>
              </w:rPr>
              <w:t xml:space="preserve">Construction </w:t>
            </w:r>
          </w:p>
        </w:tc>
        <w:tc>
          <w:tcPr>
            <w:tcW w:w="2127" w:type="dxa"/>
          </w:tcPr>
          <w:p w:rsidR="00632F4B" w:rsidRPr="0013535B" w:rsidRDefault="00632F4B" w:rsidP="00692F00">
            <w:pPr>
              <w:jc w:val="center"/>
              <w:rPr>
                <w:rFonts w:asciiTheme="majorBidi" w:eastAsia="Times New Roman" w:hAnsiTheme="majorBidi" w:cstheme="majorBidi"/>
                <w:rtl/>
                <w:lang w:eastAsia="ar-SA"/>
              </w:rPr>
            </w:pPr>
            <w:r>
              <w:rPr>
                <w:rFonts w:asciiTheme="majorBidi" w:eastAsia="Times New Roman" w:hAnsiTheme="majorBidi" w:cstheme="majorBidi" w:hint="cs"/>
                <w:rtl/>
                <w:lang w:eastAsia="ar-SA"/>
              </w:rPr>
              <w:t>41-43</w:t>
            </w:r>
          </w:p>
        </w:tc>
        <w:tc>
          <w:tcPr>
            <w:tcW w:w="1701" w:type="dxa"/>
          </w:tcPr>
          <w:p w:rsidR="00632F4B" w:rsidRPr="00692F00" w:rsidRDefault="00692F00" w:rsidP="00692F00">
            <w:pPr>
              <w:jc w:val="center"/>
              <w:rPr>
                <w:rFonts w:asciiTheme="majorBidi" w:eastAsia="Times New Roman" w:hAnsiTheme="majorBidi" w:cstheme="majorBidi"/>
                <w:lang w:eastAsia="ar-SA"/>
              </w:rPr>
            </w:pPr>
            <w:r w:rsidRPr="00692F00">
              <w:rPr>
                <w:rFonts w:asciiTheme="majorBidi" w:eastAsia="Times New Roman" w:hAnsiTheme="majorBidi" w:cstheme="majorBidi"/>
                <w:lang w:eastAsia="ar-SA"/>
              </w:rPr>
              <w:t>348,890</w:t>
            </w:r>
          </w:p>
        </w:tc>
        <w:tc>
          <w:tcPr>
            <w:tcW w:w="1984" w:type="dxa"/>
          </w:tcPr>
          <w:p w:rsidR="00632F4B" w:rsidRPr="00692F00" w:rsidRDefault="00692F00" w:rsidP="00692F00">
            <w:pPr>
              <w:jc w:val="center"/>
              <w:rPr>
                <w:rFonts w:asciiTheme="majorBidi" w:eastAsia="Times New Roman" w:hAnsiTheme="majorBidi" w:cstheme="majorBidi"/>
                <w:lang w:eastAsia="ar-SA"/>
              </w:rPr>
            </w:pPr>
            <w:r w:rsidRPr="00692F00">
              <w:rPr>
                <w:rFonts w:asciiTheme="majorBidi" w:eastAsia="Times New Roman" w:hAnsiTheme="majorBidi" w:cstheme="majorBidi"/>
                <w:lang w:eastAsia="ar-SA"/>
              </w:rPr>
              <w:t>2,737</w:t>
            </w:r>
          </w:p>
        </w:tc>
        <w:tc>
          <w:tcPr>
            <w:tcW w:w="2835" w:type="dxa"/>
            <w:gridSpan w:val="2"/>
          </w:tcPr>
          <w:p w:rsidR="00632F4B" w:rsidRPr="003820BA" w:rsidRDefault="001357AC" w:rsidP="00692F00">
            <w:pPr>
              <w:jc w:val="center"/>
              <w:rPr>
                <w:rFonts w:asciiTheme="majorBidi" w:eastAsia="Times New Roman" w:hAnsiTheme="majorBidi" w:cstheme="majorBidi"/>
                <w:lang w:eastAsia="ar-SA"/>
              </w:rPr>
            </w:pPr>
            <w:r>
              <w:rPr>
                <w:rFonts w:asciiTheme="majorBidi" w:eastAsia="Times New Roman" w:hAnsiTheme="majorBidi" w:cstheme="majorBidi"/>
                <w:lang w:eastAsia="ar-SA"/>
              </w:rPr>
              <w:t>0.8</w:t>
            </w:r>
          </w:p>
        </w:tc>
      </w:tr>
      <w:tr w:rsidR="00632F4B" w:rsidRPr="0013535B" w:rsidTr="00DD0DEC">
        <w:tc>
          <w:tcPr>
            <w:tcW w:w="2376" w:type="dxa"/>
            <w:gridSpan w:val="2"/>
          </w:tcPr>
          <w:p w:rsidR="00632F4B" w:rsidRPr="002A41C3" w:rsidRDefault="00632F4B" w:rsidP="00632F4B">
            <w:pPr>
              <w:jc w:val="both"/>
              <w:rPr>
                <w:rFonts w:asciiTheme="majorBidi" w:eastAsia="Times New Roman" w:hAnsiTheme="majorBidi" w:cstheme="majorBidi"/>
                <w:b/>
                <w:bCs/>
                <w:lang w:eastAsia="ar-SA"/>
              </w:rPr>
            </w:pPr>
            <w:r>
              <w:rPr>
                <w:rFonts w:asciiTheme="majorBidi" w:eastAsia="Times New Roman" w:hAnsiTheme="majorBidi" w:cstheme="majorBidi"/>
                <w:b/>
                <w:bCs/>
                <w:lang w:eastAsia="ar-SA"/>
              </w:rPr>
              <w:t xml:space="preserve">Trade </w:t>
            </w:r>
          </w:p>
        </w:tc>
        <w:tc>
          <w:tcPr>
            <w:tcW w:w="2127" w:type="dxa"/>
          </w:tcPr>
          <w:p w:rsidR="00632F4B" w:rsidRPr="0013535B" w:rsidRDefault="00632F4B" w:rsidP="00692F00">
            <w:pPr>
              <w:jc w:val="center"/>
              <w:rPr>
                <w:rFonts w:asciiTheme="majorBidi" w:eastAsia="Times New Roman" w:hAnsiTheme="majorBidi" w:cstheme="majorBidi"/>
                <w:lang w:eastAsia="ar-SA"/>
              </w:rPr>
            </w:pPr>
            <w:r>
              <w:rPr>
                <w:rFonts w:asciiTheme="majorBidi" w:eastAsia="Times New Roman" w:hAnsiTheme="majorBidi" w:cstheme="majorBidi"/>
                <w:lang w:eastAsia="ar-SA"/>
              </w:rPr>
              <w:t>45-47</w:t>
            </w:r>
          </w:p>
        </w:tc>
        <w:tc>
          <w:tcPr>
            <w:tcW w:w="1701" w:type="dxa"/>
          </w:tcPr>
          <w:p w:rsidR="00632F4B" w:rsidRPr="003820BA" w:rsidRDefault="00082EED" w:rsidP="00692F00">
            <w:pPr>
              <w:jc w:val="center"/>
              <w:rPr>
                <w:rFonts w:asciiTheme="majorBidi" w:eastAsia="Times New Roman" w:hAnsiTheme="majorBidi" w:cstheme="majorBidi"/>
                <w:lang w:eastAsia="ar-SA"/>
              </w:rPr>
            </w:pPr>
            <w:r>
              <w:rPr>
                <w:rFonts w:asciiTheme="majorBidi" w:eastAsia="Times New Roman" w:hAnsiTheme="majorBidi" w:cstheme="majorBidi"/>
                <w:lang w:eastAsia="ar-SA"/>
              </w:rPr>
              <w:t>736,877</w:t>
            </w:r>
          </w:p>
        </w:tc>
        <w:tc>
          <w:tcPr>
            <w:tcW w:w="1984" w:type="dxa"/>
          </w:tcPr>
          <w:p w:rsidR="00632F4B" w:rsidRPr="003820BA" w:rsidRDefault="00082EED" w:rsidP="00692F00">
            <w:pPr>
              <w:jc w:val="center"/>
              <w:rPr>
                <w:rFonts w:asciiTheme="majorBidi" w:eastAsia="Times New Roman" w:hAnsiTheme="majorBidi" w:cstheme="majorBidi"/>
                <w:lang w:eastAsia="ar-SA"/>
              </w:rPr>
            </w:pPr>
            <w:r>
              <w:rPr>
                <w:rFonts w:asciiTheme="majorBidi" w:eastAsia="Times New Roman" w:hAnsiTheme="majorBidi" w:cstheme="majorBidi"/>
                <w:lang w:eastAsia="ar-SA"/>
              </w:rPr>
              <w:t>49,537</w:t>
            </w:r>
          </w:p>
        </w:tc>
        <w:tc>
          <w:tcPr>
            <w:tcW w:w="2835" w:type="dxa"/>
            <w:gridSpan w:val="2"/>
          </w:tcPr>
          <w:p w:rsidR="00632F4B" w:rsidRPr="003820BA" w:rsidRDefault="00932461" w:rsidP="00692F00">
            <w:pPr>
              <w:jc w:val="center"/>
              <w:rPr>
                <w:rFonts w:asciiTheme="majorBidi" w:eastAsia="Times New Roman" w:hAnsiTheme="majorBidi" w:cstheme="majorBidi"/>
                <w:lang w:eastAsia="ar-SA"/>
              </w:rPr>
            </w:pPr>
            <w:r>
              <w:rPr>
                <w:rFonts w:asciiTheme="majorBidi" w:eastAsia="Times New Roman" w:hAnsiTheme="majorBidi" w:cstheme="majorBidi"/>
                <w:lang w:eastAsia="ar-SA"/>
              </w:rPr>
              <w:t>6.7</w:t>
            </w:r>
          </w:p>
        </w:tc>
      </w:tr>
      <w:tr w:rsidR="00632F4B" w:rsidRPr="0013535B" w:rsidTr="00DD0DEC">
        <w:tc>
          <w:tcPr>
            <w:tcW w:w="2376" w:type="dxa"/>
            <w:gridSpan w:val="2"/>
          </w:tcPr>
          <w:p w:rsidR="00632F4B" w:rsidRPr="002A41C3" w:rsidRDefault="00632F4B" w:rsidP="00632F4B">
            <w:pPr>
              <w:jc w:val="both"/>
              <w:rPr>
                <w:rFonts w:asciiTheme="majorBidi" w:eastAsia="Times New Roman" w:hAnsiTheme="majorBidi" w:cstheme="majorBidi"/>
                <w:b/>
                <w:bCs/>
                <w:lang w:eastAsia="ar-SA"/>
              </w:rPr>
            </w:pPr>
            <w:r>
              <w:rPr>
                <w:rFonts w:asciiTheme="majorBidi" w:eastAsia="Times New Roman" w:hAnsiTheme="majorBidi" w:cstheme="majorBidi"/>
                <w:b/>
                <w:bCs/>
                <w:lang w:eastAsia="ar-SA"/>
              </w:rPr>
              <w:t xml:space="preserve">Transport and Storage </w:t>
            </w:r>
          </w:p>
        </w:tc>
        <w:tc>
          <w:tcPr>
            <w:tcW w:w="2127" w:type="dxa"/>
          </w:tcPr>
          <w:p w:rsidR="00632F4B" w:rsidRPr="0013535B" w:rsidRDefault="00632F4B" w:rsidP="00692F00">
            <w:pPr>
              <w:jc w:val="center"/>
              <w:rPr>
                <w:rFonts w:asciiTheme="majorBidi" w:eastAsia="Times New Roman" w:hAnsiTheme="majorBidi" w:cstheme="majorBidi"/>
                <w:lang w:eastAsia="ar-SA"/>
              </w:rPr>
            </w:pPr>
            <w:r>
              <w:rPr>
                <w:rFonts w:asciiTheme="majorBidi" w:eastAsia="Times New Roman" w:hAnsiTheme="majorBidi" w:cstheme="majorBidi"/>
                <w:lang w:eastAsia="ar-SA"/>
              </w:rPr>
              <w:t>49-53</w:t>
            </w:r>
          </w:p>
        </w:tc>
        <w:tc>
          <w:tcPr>
            <w:tcW w:w="1701" w:type="dxa"/>
          </w:tcPr>
          <w:p w:rsidR="00632F4B" w:rsidRPr="003820BA" w:rsidRDefault="00082EED" w:rsidP="00692F00">
            <w:pPr>
              <w:jc w:val="center"/>
              <w:rPr>
                <w:rFonts w:asciiTheme="majorBidi" w:eastAsia="Times New Roman" w:hAnsiTheme="majorBidi" w:cstheme="majorBidi"/>
                <w:lang w:eastAsia="ar-SA"/>
              </w:rPr>
            </w:pPr>
            <w:r>
              <w:rPr>
                <w:rFonts w:asciiTheme="majorBidi" w:eastAsia="Times New Roman" w:hAnsiTheme="majorBidi" w:cstheme="majorBidi"/>
                <w:lang w:eastAsia="ar-SA"/>
              </w:rPr>
              <w:t>76,784</w:t>
            </w:r>
          </w:p>
        </w:tc>
        <w:tc>
          <w:tcPr>
            <w:tcW w:w="1984" w:type="dxa"/>
          </w:tcPr>
          <w:p w:rsidR="00632F4B" w:rsidRPr="003820BA" w:rsidRDefault="00082EED" w:rsidP="00692F00">
            <w:pPr>
              <w:jc w:val="center"/>
              <w:rPr>
                <w:rFonts w:asciiTheme="majorBidi" w:eastAsia="Times New Roman" w:hAnsiTheme="majorBidi" w:cstheme="majorBidi"/>
                <w:lang w:eastAsia="ar-SA"/>
              </w:rPr>
            </w:pPr>
            <w:r>
              <w:rPr>
                <w:rFonts w:asciiTheme="majorBidi" w:eastAsia="Times New Roman" w:hAnsiTheme="majorBidi" w:cstheme="majorBidi"/>
                <w:lang w:eastAsia="ar-SA"/>
              </w:rPr>
              <w:t>2,922</w:t>
            </w:r>
          </w:p>
        </w:tc>
        <w:tc>
          <w:tcPr>
            <w:tcW w:w="2835" w:type="dxa"/>
            <w:gridSpan w:val="2"/>
          </w:tcPr>
          <w:p w:rsidR="00632F4B" w:rsidRPr="003820BA" w:rsidRDefault="00932461" w:rsidP="00692F00">
            <w:pPr>
              <w:jc w:val="center"/>
              <w:rPr>
                <w:rFonts w:asciiTheme="majorBidi" w:eastAsia="Times New Roman" w:hAnsiTheme="majorBidi" w:cstheme="majorBidi"/>
                <w:lang w:eastAsia="ar-SA"/>
              </w:rPr>
            </w:pPr>
            <w:r>
              <w:rPr>
                <w:rFonts w:asciiTheme="majorBidi" w:eastAsia="Times New Roman" w:hAnsiTheme="majorBidi" w:cstheme="majorBidi"/>
                <w:lang w:eastAsia="ar-SA"/>
              </w:rPr>
              <w:t>3.8</w:t>
            </w:r>
          </w:p>
        </w:tc>
      </w:tr>
      <w:tr w:rsidR="00632F4B" w:rsidRPr="0013535B" w:rsidTr="00DD0DEC">
        <w:tc>
          <w:tcPr>
            <w:tcW w:w="2376" w:type="dxa"/>
            <w:gridSpan w:val="2"/>
          </w:tcPr>
          <w:p w:rsidR="00632F4B" w:rsidRPr="002A41C3" w:rsidRDefault="00632F4B" w:rsidP="00632F4B">
            <w:pPr>
              <w:jc w:val="both"/>
              <w:rPr>
                <w:rFonts w:asciiTheme="majorBidi" w:eastAsia="Times New Roman" w:hAnsiTheme="majorBidi" w:cstheme="majorBidi"/>
                <w:b/>
                <w:bCs/>
                <w:lang w:eastAsia="ar-SA"/>
              </w:rPr>
            </w:pPr>
            <w:r>
              <w:rPr>
                <w:rFonts w:asciiTheme="majorBidi" w:eastAsia="Times New Roman" w:hAnsiTheme="majorBidi" w:cstheme="majorBidi"/>
                <w:b/>
                <w:bCs/>
                <w:lang w:eastAsia="ar-SA"/>
              </w:rPr>
              <w:t xml:space="preserve">Communication and Information </w:t>
            </w:r>
          </w:p>
        </w:tc>
        <w:tc>
          <w:tcPr>
            <w:tcW w:w="2127" w:type="dxa"/>
          </w:tcPr>
          <w:p w:rsidR="00632F4B" w:rsidRPr="0013535B" w:rsidRDefault="00632F4B" w:rsidP="00692F00">
            <w:pPr>
              <w:jc w:val="center"/>
              <w:rPr>
                <w:rFonts w:asciiTheme="majorBidi" w:eastAsia="Times New Roman" w:hAnsiTheme="majorBidi" w:cstheme="majorBidi"/>
                <w:lang w:eastAsia="ar-SA"/>
              </w:rPr>
            </w:pPr>
            <w:r>
              <w:rPr>
                <w:rFonts w:asciiTheme="majorBidi" w:eastAsia="Times New Roman" w:hAnsiTheme="majorBidi" w:cstheme="majorBidi"/>
                <w:lang w:eastAsia="ar-SA"/>
              </w:rPr>
              <w:t>58-63</w:t>
            </w:r>
          </w:p>
        </w:tc>
        <w:tc>
          <w:tcPr>
            <w:tcW w:w="1701" w:type="dxa"/>
            <w:tcBorders>
              <w:bottom w:val="single" w:sz="4" w:space="0" w:color="000000" w:themeColor="text1"/>
            </w:tcBorders>
          </w:tcPr>
          <w:p w:rsidR="00632F4B" w:rsidRPr="003820BA" w:rsidRDefault="00082EED" w:rsidP="00692F00">
            <w:pPr>
              <w:jc w:val="center"/>
              <w:rPr>
                <w:rFonts w:asciiTheme="majorBidi" w:eastAsia="Times New Roman" w:hAnsiTheme="majorBidi" w:cstheme="majorBidi"/>
                <w:lang w:eastAsia="ar-SA"/>
              </w:rPr>
            </w:pPr>
            <w:r>
              <w:rPr>
                <w:rFonts w:asciiTheme="majorBidi" w:eastAsia="Times New Roman" w:hAnsiTheme="majorBidi" w:cstheme="majorBidi"/>
                <w:lang w:eastAsia="ar-SA"/>
              </w:rPr>
              <w:t>130,065</w:t>
            </w:r>
          </w:p>
        </w:tc>
        <w:tc>
          <w:tcPr>
            <w:tcW w:w="1984" w:type="dxa"/>
            <w:tcBorders>
              <w:bottom w:val="single" w:sz="4" w:space="0" w:color="000000" w:themeColor="text1"/>
            </w:tcBorders>
          </w:tcPr>
          <w:p w:rsidR="00632F4B" w:rsidRPr="003820BA" w:rsidRDefault="00082EED" w:rsidP="00692F00">
            <w:pPr>
              <w:jc w:val="center"/>
              <w:rPr>
                <w:rFonts w:asciiTheme="majorBidi" w:eastAsia="Times New Roman" w:hAnsiTheme="majorBidi" w:cstheme="majorBidi"/>
                <w:lang w:eastAsia="ar-SA"/>
              </w:rPr>
            </w:pPr>
            <w:r>
              <w:rPr>
                <w:rFonts w:asciiTheme="majorBidi" w:eastAsia="Times New Roman" w:hAnsiTheme="majorBidi" w:cstheme="majorBidi"/>
                <w:lang w:eastAsia="ar-SA"/>
              </w:rPr>
              <w:t>36,044</w:t>
            </w:r>
          </w:p>
        </w:tc>
        <w:tc>
          <w:tcPr>
            <w:tcW w:w="2835" w:type="dxa"/>
            <w:gridSpan w:val="2"/>
            <w:tcBorders>
              <w:bottom w:val="single" w:sz="4" w:space="0" w:color="000000" w:themeColor="text1"/>
            </w:tcBorders>
          </w:tcPr>
          <w:p w:rsidR="00632F4B" w:rsidRPr="003820BA" w:rsidRDefault="00932461" w:rsidP="00692F00">
            <w:pPr>
              <w:jc w:val="center"/>
              <w:rPr>
                <w:rFonts w:asciiTheme="majorBidi" w:eastAsia="Times New Roman" w:hAnsiTheme="majorBidi" w:cstheme="majorBidi"/>
                <w:lang w:eastAsia="ar-SA"/>
              </w:rPr>
            </w:pPr>
            <w:r>
              <w:rPr>
                <w:rFonts w:asciiTheme="majorBidi" w:eastAsia="Times New Roman" w:hAnsiTheme="majorBidi" w:cstheme="majorBidi"/>
                <w:lang w:eastAsia="ar-SA"/>
              </w:rPr>
              <w:t>27.7</w:t>
            </w:r>
          </w:p>
        </w:tc>
      </w:tr>
      <w:tr w:rsidR="00632F4B" w:rsidRPr="0013535B" w:rsidTr="00DD0DEC">
        <w:tc>
          <w:tcPr>
            <w:tcW w:w="2376" w:type="dxa"/>
            <w:gridSpan w:val="2"/>
          </w:tcPr>
          <w:p w:rsidR="00632F4B" w:rsidRPr="002A41C3" w:rsidRDefault="00632F4B" w:rsidP="00632F4B">
            <w:pPr>
              <w:jc w:val="both"/>
              <w:rPr>
                <w:rFonts w:asciiTheme="majorBidi" w:eastAsia="Times New Roman" w:hAnsiTheme="majorBidi" w:cstheme="majorBidi"/>
                <w:b/>
                <w:bCs/>
                <w:lang w:eastAsia="ar-SA"/>
              </w:rPr>
            </w:pPr>
            <w:r>
              <w:rPr>
                <w:rFonts w:asciiTheme="majorBidi" w:eastAsia="Times New Roman" w:hAnsiTheme="majorBidi" w:cstheme="majorBidi"/>
                <w:b/>
                <w:bCs/>
                <w:lang w:eastAsia="ar-SA"/>
              </w:rPr>
              <w:t xml:space="preserve">Services </w:t>
            </w:r>
          </w:p>
        </w:tc>
        <w:tc>
          <w:tcPr>
            <w:tcW w:w="2127" w:type="dxa"/>
          </w:tcPr>
          <w:p w:rsidR="00632F4B" w:rsidRPr="0013535B" w:rsidRDefault="00632F4B" w:rsidP="00692F00">
            <w:pPr>
              <w:jc w:val="center"/>
              <w:rPr>
                <w:rFonts w:asciiTheme="majorBidi" w:eastAsia="Times New Roman" w:hAnsiTheme="majorBidi" w:cstheme="majorBidi"/>
                <w:lang w:eastAsia="ar-SA"/>
              </w:rPr>
            </w:pPr>
            <w:r>
              <w:rPr>
                <w:rFonts w:asciiTheme="majorBidi" w:eastAsia="Times New Roman" w:hAnsiTheme="majorBidi" w:cstheme="majorBidi"/>
                <w:lang w:eastAsia="ar-SA"/>
              </w:rPr>
              <w:t>(55-56), (68-96)</w:t>
            </w:r>
          </w:p>
        </w:tc>
        <w:tc>
          <w:tcPr>
            <w:tcW w:w="1701" w:type="dxa"/>
          </w:tcPr>
          <w:p w:rsidR="00632F4B" w:rsidRPr="003820BA" w:rsidRDefault="001E5C40" w:rsidP="00692F00">
            <w:pPr>
              <w:jc w:val="center"/>
              <w:rPr>
                <w:rFonts w:asciiTheme="majorBidi" w:eastAsia="Times New Roman" w:hAnsiTheme="majorBidi" w:cstheme="majorBidi"/>
                <w:lang w:eastAsia="ar-SA"/>
              </w:rPr>
            </w:pPr>
            <w:r>
              <w:rPr>
                <w:rFonts w:asciiTheme="majorBidi" w:eastAsia="Times New Roman" w:hAnsiTheme="majorBidi" w:cstheme="majorBidi"/>
                <w:lang w:eastAsia="ar-SA"/>
              </w:rPr>
              <w:t>581,332</w:t>
            </w:r>
          </w:p>
        </w:tc>
        <w:tc>
          <w:tcPr>
            <w:tcW w:w="1984" w:type="dxa"/>
          </w:tcPr>
          <w:p w:rsidR="00632F4B" w:rsidRPr="003820BA" w:rsidRDefault="001E5C40" w:rsidP="00692F00">
            <w:pPr>
              <w:jc w:val="center"/>
              <w:rPr>
                <w:rFonts w:asciiTheme="majorBidi" w:eastAsia="Times New Roman" w:hAnsiTheme="majorBidi" w:cstheme="majorBidi"/>
                <w:lang w:eastAsia="ar-SA"/>
              </w:rPr>
            </w:pPr>
            <w:r>
              <w:rPr>
                <w:rFonts w:asciiTheme="majorBidi" w:eastAsia="Times New Roman" w:hAnsiTheme="majorBidi" w:cstheme="majorBidi"/>
                <w:lang w:eastAsia="ar-SA"/>
              </w:rPr>
              <w:t>31,051</w:t>
            </w:r>
          </w:p>
        </w:tc>
        <w:tc>
          <w:tcPr>
            <w:tcW w:w="2835" w:type="dxa"/>
            <w:gridSpan w:val="2"/>
          </w:tcPr>
          <w:p w:rsidR="00632F4B" w:rsidRPr="003820BA" w:rsidRDefault="00932461" w:rsidP="00692F00">
            <w:pPr>
              <w:jc w:val="center"/>
              <w:rPr>
                <w:rFonts w:asciiTheme="majorBidi" w:eastAsia="Times New Roman" w:hAnsiTheme="majorBidi" w:cstheme="majorBidi"/>
                <w:lang w:eastAsia="ar-SA"/>
              </w:rPr>
            </w:pPr>
            <w:r>
              <w:rPr>
                <w:rFonts w:asciiTheme="majorBidi" w:eastAsia="Times New Roman" w:hAnsiTheme="majorBidi" w:cstheme="majorBidi"/>
                <w:lang w:eastAsia="ar-SA"/>
              </w:rPr>
              <w:t>5.3</w:t>
            </w:r>
          </w:p>
        </w:tc>
      </w:tr>
      <w:tr w:rsidR="00632F4B" w:rsidRPr="0013535B" w:rsidTr="00DD0DEC">
        <w:tc>
          <w:tcPr>
            <w:tcW w:w="2376" w:type="dxa"/>
            <w:gridSpan w:val="2"/>
          </w:tcPr>
          <w:p w:rsidR="00632F4B" w:rsidRPr="00B147A2" w:rsidRDefault="00632F4B" w:rsidP="00632F4B">
            <w:pPr>
              <w:jc w:val="both"/>
              <w:rPr>
                <w:rFonts w:asciiTheme="majorBidi" w:eastAsia="Times New Roman" w:hAnsiTheme="majorBidi" w:cstheme="majorBidi"/>
                <w:b/>
                <w:bCs/>
                <w:lang w:eastAsia="ar-SA"/>
              </w:rPr>
            </w:pPr>
            <w:r w:rsidRPr="00B147A2">
              <w:rPr>
                <w:rFonts w:asciiTheme="majorBidi" w:eastAsia="Times New Roman" w:hAnsiTheme="majorBidi" w:cstheme="majorBidi"/>
                <w:b/>
                <w:bCs/>
                <w:lang w:eastAsia="ar-SA"/>
              </w:rPr>
              <w:t xml:space="preserve">Total </w:t>
            </w:r>
          </w:p>
        </w:tc>
        <w:tc>
          <w:tcPr>
            <w:tcW w:w="2127" w:type="dxa"/>
          </w:tcPr>
          <w:p w:rsidR="00632F4B" w:rsidRPr="00B147A2" w:rsidRDefault="00632F4B" w:rsidP="00632F4B">
            <w:pPr>
              <w:jc w:val="both"/>
              <w:rPr>
                <w:rFonts w:asciiTheme="majorBidi" w:eastAsia="Times New Roman" w:hAnsiTheme="majorBidi" w:cstheme="majorBidi"/>
                <w:b/>
                <w:bCs/>
                <w:lang w:eastAsia="ar-SA"/>
              </w:rPr>
            </w:pPr>
          </w:p>
        </w:tc>
        <w:tc>
          <w:tcPr>
            <w:tcW w:w="1701" w:type="dxa"/>
          </w:tcPr>
          <w:p w:rsidR="00632F4B" w:rsidRPr="00692F00" w:rsidRDefault="00692F00" w:rsidP="001357AC">
            <w:pPr>
              <w:jc w:val="center"/>
              <w:rPr>
                <w:rFonts w:asciiTheme="majorBidi" w:eastAsia="Times New Roman" w:hAnsiTheme="majorBidi" w:cstheme="majorBidi"/>
                <w:b/>
                <w:bCs/>
                <w:rtl/>
                <w:lang w:eastAsia="ar-SA"/>
              </w:rPr>
            </w:pPr>
            <w:r w:rsidRPr="00692F00">
              <w:rPr>
                <w:rFonts w:asciiTheme="majorBidi" w:eastAsia="Times New Roman" w:hAnsiTheme="majorBidi" w:cstheme="majorBidi"/>
                <w:b/>
                <w:bCs/>
                <w:lang w:eastAsia="ar-SA"/>
              </w:rPr>
              <w:t>4,679,880</w:t>
            </w:r>
          </w:p>
        </w:tc>
        <w:tc>
          <w:tcPr>
            <w:tcW w:w="1984" w:type="dxa"/>
          </w:tcPr>
          <w:p w:rsidR="00632F4B" w:rsidRPr="00692F00" w:rsidRDefault="00692F00" w:rsidP="001357AC">
            <w:pPr>
              <w:jc w:val="center"/>
              <w:rPr>
                <w:rFonts w:asciiTheme="majorBidi" w:eastAsia="Times New Roman" w:hAnsiTheme="majorBidi" w:cstheme="majorBidi"/>
                <w:b/>
                <w:bCs/>
                <w:lang w:eastAsia="ar-SA"/>
              </w:rPr>
            </w:pPr>
            <w:r w:rsidRPr="00692F00">
              <w:rPr>
                <w:rFonts w:asciiTheme="majorBidi" w:eastAsia="Times New Roman" w:hAnsiTheme="majorBidi" w:cstheme="majorBidi"/>
                <w:b/>
                <w:bCs/>
                <w:lang w:eastAsia="ar-SA"/>
              </w:rPr>
              <w:t>145,366</w:t>
            </w:r>
          </w:p>
        </w:tc>
        <w:tc>
          <w:tcPr>
            <w:tcW w:w="2835" w:type="dxa"/>
            <w:gridSpan w:val="2"/>
          </w:tcPr>
          <w:p w:rsidR="00632F4B" w:rsidRDefault="001357AC" w:rsidP="001357AC">
            <w:pPr>
              <w:jc w:val="center"/>
              <w:rPr>
                <w:rFonts w:asciiTheme="majorBidi" w:eastAsia="Times New Roman" w:hAnsiTheme="majorBidi" w:cstheme="majorBidi"/>
                <w:b/>
                <w:bCs/>
                <w:lang w:eastAsia="ar-SA"/>
              </w:rPr>
            </w:pPr>
            <w:r>
              <w:rPr>
                <w:rFonts w:asciiTheme="majorBidi" w:eastAsia="Times New Roman" w:hAnsiTheme="majorBidi" w:cstheme="majorBidi"/>
                <w:b/>
                <w:bCs/>
                <w:lang w:eastAsia="ar-SA"/>
              </w:rPr>
              <w:t>45.2</w:t>
            </w:r>
          </w:p>
        </w:tc>
      </w:tr>
    </w:tbl>
    <w:p w:rsidR="006E3CDA" w:rsidRPr="006E3CDA" w:rsidRDefault="006E3CDA" w:rsidP="008154BE">
      <w:pPr>
        <w:pStyle w:val="BodyText2"/>
        <w:bidi w:val="0"/>
        <w:jc w:val="center"/>
        <w:rPr>
          <w:rFonts w:asciiTheme="majorBidi" w:hAnsiTheme="majorBidi" w:cstheme="majorBidi"/>
          <w:b/>
          <w:bCs/>
          <w:sz w:val="22"/>
          <w:szCs w:val="22"/>
        </w:rPr>
      </w:pPr>
      <w:r w:rsidRPr="0013535B">
        <w:rPr>
          <w:rFonts w:asciiTheme="majorBidi" w:hAnsiTheme="majorBidi" w:cstheme="majorBidi"/>
          <w:sz w:val="22"/>
          <w:szCs w:val="22"/>
        </w:rPr>
        <w:t>* Data excluded those parts of Jerusalem which were annexed by Israeli Occupation in 1967.</w:t>
      </w:r>
    </w:p>
    <w:p w:rsidR="006E3CDA" w:rsidRDefault="006E3CDA" w:rsidP="006E3CDA">
      <w:pPr>
        <w:pStyle w:val="BodyText2"/>
        <w:bidi w:val="0"/>
        <w:jc w:val="both"/>
        <w:rPr>
          <w:rFonts w:asciiTheme="majorBidi" w:hAnsiTheme="majorBidi" w:cstheme="majorBidi"/>
          <w:b/>
          <w:bCs/>
          <w:sz w:val="22"/>
          <w:szCs w:val="22"/>
        </w:rPr>
      </w:pPr>
    </w:p>
    <w:p w:rsidR="0086353A" w:rsidRDefault="00405DAF" w:rsidP="006E3CDA">
      <w:pPr>
        <w:pStyle w:val="BodyText2"/>
        <w:bidi w:val="0"/>
        <w:jc w:val="both"/>
        <w:rPr>
          <w:rFonts w:asciiTheme="majorBidi" w:hAnsiTheme="majorBidi" w:cstheme="majorBidi"/>
          <w:b/>
          <w:bCs/>
          <w:sz w:val="22"/>
          <w:szCs w:val="22"/>
        </w:rPr>
      </w:pPr>
      <w:r>
        <w:rPr>
          <w:rFonts w:asciiTheme="majorBidi" w:hAnsiTheme="majorBidi" w:cstheme="majorBidi"/>
          <w:b/>
          <w:bCs/>
          <w:sz w:val="22"/>
          <w:szCs w:val="22"/>
        </w:rPr>
        <w:t xml:space="preserve">3.3 </w:t>
      </w:r>
      <w:r w:rsidR="00E807CB" w:rsidRPr="00E807CB">
        <w:rPr>
          <w:rFonts w:asciiTheme="majorBidi" w:hAnsiTheme="majorBidi" w:cstheme="majorBidi"/>
          <w:b/>
          <w:bCs/>
          <w:sz w:val="22"/>
          <w:szCs w:val="22"/>
        </w:rPr>
        <w:t xml:space="preserve">House Hold Final </w:t>
      </w:r>
      <w:r w:rsidR="00654210">
        <w:rPr>
          <w:rFonts w:asciiTheme="majorBidi" w:hAnsiTheme="majorBidi" w:cstheme="majorBidi"/>
          <w:b/>
          <w:bCs/>
          <w:sz w:val="22"/>
          <w:szCs w:val="22"/>
        </w:rPr>
        <w:t xml:space="preserve">Consumption </w:t>
      </w:r>
      <w:r w:rsidR="000A3286">
        <w:rPr>
          <w:rFonts w:asciiTheme="majorBidi" w:hAnsiTheme="majorBidi" w:cstheme="majorBidi"/>
          <w:b/>
          <w:bCs/>
          <w:sz w:val="22"/>
          <w:szCs w:val="22"/>
        </w:rPr>
        <w:t>on</w:t>
      </w:r>
      <w:r w:rsidR="00654210">
        <w:rPr>
          <w:rFonts w:asciiTheme="majorBidi" w:hAnsiTheme="majorBidi" w:cstheme="majorBidi"/>
          <w:b/>
          <w:bCs/>
          <w:sz w:val="22"/>
          <w:szCs w:val="22"/>
        </w:rPr>
        <w:t xml:space="preserve"> ICT products and services in Palestine</w:t>
      </w:r>
      <w:r w:rsidR="00E807CB" w:rsidRPr="00E807CB">
        <w:rPr>
          <w:rFonts w:asciiTheme="majorBidi" w:hAnsiTheme="majorBidi" w:cstheme="majorBidi"/>
          <w:b/>
          <w:bCs/>
          <w:sz w:val="22"/>
          <w:szCs w:val="22"/>
        </w:rPr>
        <w:t>:</w:t>
      </w:r>
    </w:p>
    <w:p w:rsidR="003B6D9D" w:rsidRDefault="000A3286" w:rsidP="00057465">
      <w:pPr>
        <w:pStyle w:val="BodyText2"/>
        <w:bidi w:val="0"/>
        <w:jc w:val="both"/>
        <w:rPr>
          <w:rFonts w:asciiTheme="majorBidi" w:hAnsiTheme="majorBidi" w:cstheme="majorBidi"/>
          <w:b/>
          <w:bCs/>
          <w:sz w:val="22"/>
          <w:szCs w:val="22"/>
        </w:rPr>
      </w:pPr>
      <w:r w:rsidRPr="0086353A">
        <w:rPr>
          <w:rFonts w:asciiTheme="majorBidi" w:hAnsiTheme="majorBidi" w:cstheme="majorBidi"/>
          <w:sz w:val="22"/>
          <w:szCs w:val="22"/>
        </w:rPr>
        <w:t>In 2017, preliminary data show that the  household final consumption on ICT products and services was  USD million 618.9</w:t>
      </w:r>
      <w:r w:rsidR="00880758" w:rsidRPr="0086353A">
        <w:rPr>
          <w:rFonts w:asciiTheme="majorBidi" w:hAnsiTheme="majorBidi" w:cstheme="majorBidi"/>
          <w:sz w:val="22"/>
          <w:szCs w:val="22"/>
        </w:rPr>
        <w:t xml:space="preserve"> in Palestine (excluded those parts of Jerusalem which were annexed by Israeli Occupation in 1967)</w:t>
      </w:r>
      <w:r w:rsidR="00D77F51">
        <w:rPr>
          <w:rFonts w:asciiTheme="majorBidi" w:hAnsiTheme="majorBidi" w:cstheme="majorBidi"/>
          <w:sz w:val="22"/>
          <w:szCs w:val="22"/>
        </w:rPr>
        <w:t xml:space="preserve"> [</w:t>
      </w:r>
      <w:r w:rsidR="00057465">
        <w:rPr>
          <w:rFonts w:asciiTheme="majorBidi" w:hAnsiTheme="majorBidi" w:cstheme="majorBidi"/>
          <w:sz w:val="22"/>
          <w:szCs w:val="22"/>
        </w:rPr>
        <w:t>5</w:t>
      </w:r>
      <w:r w:rsidR="00D77F51">
        <w:rPr>
          <w:rFonts w:asciiTheme="majorBidi" w:hAnsiTheme="majorBidi" w:cstheme="majorBidi"/>
          <w:sz w:val="22"/>
          <w:szCs w:val="22"/>
        </w:rPr>
        <w:t>]</w:t>
      </w:r>
      <w:r w:rsidR="00880758" w:rsidRPr="0086353A">
        <w:rPr>
          <w:rFonts w:asciiTheme="majorBidi" w:hAnsiTheme="majorBidi" w:cstheme="majorBidi"/>
          <w:sz w:val="22"/>
          <w:szCs w:val="22"/>
        </w:rPr>
        <w:t>.</w:t>
      </w:r>
    </w:p>
    <w:p w:rsidR="00187DC4" w:rsidRPr="0086353A" w:rsidRDefault="00187DC4" w:rsidP="00187DC4">
      <w:pPr>
        <w:pStyle w:val="BodyText2"/>
        <w:bidi w:val="0"/>
        <w:jc w:val="both"/>
        <w:rPr>
          <w:rFonts w:asciiTheme="majorBidi" w:hAnsiTheme="majorBidi" w:cstheme="majorBidi"/>
          <w:b/>
          <w:bCs/>
          <w:sz w:val="22"/>
          <w:szCs w:val="22"/>
        </w:rPr>
      </w:pPr>
    </w:p>
    <w:p w:rsidR="001D74A7" w:rsidRPr="00434760" w:rsidRDefault="00405DAF" w:rsidP="00405DAF">
      <w:pPr>
        <w:pStyle w:val="BodyText2"/>
        <w:bidi w:val="0"/>
        <w:jc w:val="both"/>
        <w:rPr>
          <w:rFonts w:asciiTheme="majorBidi" w:hAnsiTheme="majorBidi" w:cstheme="majorBidi"/>
          <w:b/>
          <w:bCs/>
          <w:sz w:val="22"/>
          <w:szCs w:val="22"/>
        </w:rPr>
      </w:pPr>
      <w:bookmarkStart w:id="0" w:name="_GoBack"/>
      <w:bookmarkEnd w:id="0"/>
      <w:r>
        <w:rPr>
          <w:rFonts w:asciiTheme="majorBidi" w:hAnsiTheme="majorBidi" w:cstheme="majorBidi"/>
          <w:b/>
          <w:bCs/>
          <w:color w:val="000000" w:themeColor="text1"/>
          <w:sz w:val="22"/>
          <w:szCs w:val="22"/>
        </w:rPr>
        <w:t xml:space="preserve">4. </w:t>
      </w:r>
      <w:r w:rsidR="00296772" w:rsidRPr="00434760">
        <w:rPr>
          <w:rFonts w:asciiTheme="majorBidi" w:hAnsiTheme="majorBidi" w:cstheme="majorBidi"/>
          <w:b/>
          <w:bCs/>
          <w:color w:val="000000" w:themeColor="text1"/>
          <w:sz w:val="22"/>
          <w:szCs w:val="22"/>
        </w:rPr>
        <w:t>Constrain</w:t>
      </w:r>
      <w:r w:rsidR="00CF0B0C" w:rsidRPr="00434760">
        <w:rPr>
          <w:rFonts w:asciiTheme="majorBidi" w:hAnsiTheme="majorBidi" w:cstheme="majorBidi"/>
          <w:b/>
          <w:bCs/>
          <w:color w:val="000000" w:themeColor="text1"/>
          <w:sz w:val="22"/>
          <w:szCs w:val="22"/>
        </w:rPr>
        <w:t>t</w:t>
      </w:r>
      <w:r w:rsidR="00296772" w:rsidRPr="00434760">
        <w:rPr>
          <w:rFonts w:asciiTheme="majorBidi" w:hAnsiTheme="majorBidi" w:cstheme="majorBidi"/>
          <w:b/>
          <w:bCs/>
          <w:color w:val="000000" w:themeColor="text1"/>
          <w:sz w:val="22"/>
          <w:szCs w:val="22"/>
        </w:rPr>
        <w:t xml:space="preserve">s </w:t>
      </w:r>
      <w:r w:rsidR="00710EDF" w:rsidRPr="00434760">
        <w:rPr>
          <w:rFonts w:asciiTheme="majorBidi" w:hAnsiTheme="majorBidi" w:cstheme="majorBidi"/>
          <w:b/>
          <w:bCs/>
          <w:color w:val="000000" w:themeColor="text1"/>
          <w:sz w:val="22"/>
          <w:szCs w:val="22"/>
        </w:rPr>
        <w:t>and Risk</w:t>
      </w:r>
    </w:p>
    <w:p w:rsidR="00F308BA" w:rsidRPr="0013535B" w:rsidRDefault="00CB410A" w:rsidP="000816EF">
      <w:pPr>
        <w:pStyle w:val="BodyText2"/>
        <w:bidi w:val="0"/>
        <w:jc w:val="both"/>
        <w:rPr>
          <w:rFonts w:asciiTheme="majorBidi" w:hAnsiTheme="majorBidi" w:cstheme="majorBidi"/>
          <w:sz w:val="22"/>
          <w:szCs w:val="22"/>
        </w:rPr>
      </w:pPr>
      <w:r w:rsidRPr="0013535B">
        <w:rPr>
          <w:rFonts w:asciiTheme="majorBidi" w:hAnsiTheme="majorBidi" w:cstheme="majorBidi"/>
          <w:sz w:val="22"/>
          <w:szCs w:val="22"/>
        </w:rPr>
        <w:t>The main constrain</w:t>
      </w:r>
      <w:r w:rsidR="00CF0B0C" w:rsidRPr="0013535B">
        <w:rPr>
          <w:rFonts w:asciiTheme="majorBidi" w:hAnsiTheme="majorBidi" w:cstheme="majorBidi"/>
          <w:sz w:val="22"/>
          <w:szCs w:val="22"/>
        </w:rPr>
        <w:t>t</w:t>
      </w:r>
      <w:r w:rsidR="00F308BA" w:rsidRPr="0013535B">
        <w:rPr>
          <w:rFonts w:asciiTheme="majorBidi" w:hAnsiTheme="majorBidi" w:cstheme="majorBidi"/>
          <w:sz w:val="22"/>
          <w:szCs w:val="22"/>
        </w:rPr>
        <w:t>s</w:t>
      </w:r>
      <w:r w:rsidR="00006534" w:rsidRPr="0013535B">
        <w:rPr>
          <w:rFonts w:asciiTheme="majorBidi" w:hAnsiTheme="majorBidi" w:cstheme="majorBidi"/>
          <w:sz w:val="22"/>
          <w:szCs w:val="22"/>
        </w:rPr>
        <w:t xml:space="preserve"> and risk</w:t>
      </w:r>
      <w:r w:rsidRPr="0013535B">
        <w:rPr>
          <w:rFonts w:asciiTheme="majorBidi" w:hAnsiTheme="majorBidi" w:cstheme="majorBidi"/>
          <w:sz w:val="22"/>
          <w:szCs w:val="22"/>
        </w:rPr>
        <w:t xml:space="preserve"> associated with </w:t>
      </w:r>
      <w:r w:rsidR="00134A1E" w:rsidRPr="0013535B">
        <w:rPr>
          <w:rFonts w:asciiTheme="majorBidi" w:hAnsiTheme="majorBidi" w:cstheme="majorBidi"/>
          <w:sz w:val="22"/>
          <w:szCs w:val="22"/>
        </w:rPr>
        <w:t>ICT</w:t>
      </w:r>
      <w:r w:rsidR="00710EDF" w:rsidRPr="0013535B">
        <w:rPr>
          <w:rFonts w:asciiTheme="majorBidi" w:hAnsiTheme="majorBidi" w:cstheme="majorBidi"/>
          <w:sz w:val="22"/>
          <w:szCs w:val="22"/>
        </w:rPr>
        <w:t xml:space="preserve"> satellite accounts </w:t>
      </w:r>
      <w:r w:rsidRPr="0013535B">
        <w:rPr>
          <w:rFonts w:asciiTheme="majorBidi" w:hAnsiTheme="majorBidi" w:cstheme="majorBidi"/>
          <w:sz w:val="22"/>
          <w:szCs w:val="22"/>
        </w:rPr>
        <w:t xml:space="preserve"> in Palestine</w:t>
      </w:r>
      <w:r w:rsidR="00F308BA" w:rsidRPr="0013535B">
        <w:rPr>
          <w:rFonts w:asciiTheme="majorBidi" w:hAnsiTheme="majorBidi" w:cstheme="majorBidi"/>
          <w:sz w:val="22"/>
          <w:szCs w:val="22"/>
        </w:rPr>
        <w:t xml:space="preserve"> are:</w:t>
      </w:r>
    </w:p>
    <w:p w:rsidR="00F308BA" w:rsidRPr="0013535B" w:rsidRDefault="00595588" w:rsidP="000816EF">
      <w:pPr>
        <w:pStyle w:val="BodyText2"/>
        <w:numPr>
          <w:ilvl w:val="0"/>
          <w:numId w:val="15"/>
        </w:numPr>
        <w:bidi w:val="0"/>
        <w:jc w:val="both"/>
        <w:rPr>
          <w:rFonts w:asciiTheme="majorBidi" w:hAnsiTheme="majorBidi" w:cstheme="majorBidi"/>
          <w:sz w:val="22"/>
          <w:szCs w:val="22"/>
        </w:rPr>
      </w:pPr>
      <w:r w:rsidRPr="0013535B">
        <w:rPr>
          <w:rFonts w:asciiTheme="majorBidi" w:hAnsiTheme="majorBidi" w:cstheme="majorBidi"/>
          <w:sz w:val="22"/>
          <w:szCs w:val="22"/>
        </w:rPr>
        <w:t>No recommended guidelines and framework</w:t>
      </w:r>
      <w:r w:rsidR="000F6214" w:rsidRPr="0013535B">
        <w:rPr>
          <w:rFonts w:asciiTheme="majorBidi" w:hAnsiTheme="majorBidi" w:cstheme="majorBidi"/>
          <w:sz w:val="22"/>
          <w:szCs w:val="22"/>
        </w:rPr>
        <w:t>.</w:t>
      </w:r>
    </w:p>
    <w:p w:rsidR="005E37BC" w:rsidRDefault="00106130" w:rsidP="0038749A">
      <w:pPr>
        <w:pStyle w:val="BodyText2"/>
        <w:numPr>
          <w:ilvl w:val="0"/>
          <w:numId w:val="15"/>
        </w:numPr>
        <w:bidi w:val="0"/>
        <w:jc w:val="both"/>
        <w:rPr>
          <w:rFonts w:asciiTheme="majorBidi" w:hAnsiTheme="majorBidi" w:cstheme="majorBidi"/>
          <w:sz w:val="22"/>
          <w:szCs w:val="22"/>
        </w:rPr>
      </w:pPr>
      <w:r>
        <w:rPr>
          <w:rFonts w:asciiTheme="majorBidi" w:hAnsiTheme="majorBidi" w:cstheme="majorBidi"/>
          <w:sz w:val="22"/>
          <w:szCs w:val="22"/>
        </w:rPr>
        <w:t xml:space="preserve">Lack of </w:t>
      </w:r>
      <w:r w:rsidR="006031C3" w:rsidRPr="0013535B">
        <w:rPr>
          <w:rFonts w:asciiTheme="majorBidi" w:hAnsiTheme="majorBidi" w:cstheme="majorBidi"/>
          <w:sz w:val="22"/>
          <w:szCs w:val="22"/>
        </w:rPr>
        <w:t xml:space="preserve"> administrative records</w:t>
      </w:r>
      <w:r w:rsidR="00187DC4">
        <w:rPr>
          <w:rFonts w:asciiTheme="majorBidi" w:hAnsiTheme="majorBidi" w:cstheme="majorBidi"/>
          <w:sz w:val="22"/>
          <w:szCs w:val="22"/>
        </w:rPr>
        <w:t xml:space="preserve"> </w:t>
      </w:r>
      <w:r w:rsidR="0038749A">
        <w:rPr>
          <w:rFonts w:asciiTheme="majorBidi" w:hAnsiTheme="majorBidi" w:cstheme="majorBidi"/>
          <w:sz w:val="22"/>
          <w:szCs w:val="22"/>
        </w:rPr>
        <w:t>about</w:t>
      </w:r>
      <w:r w:rsidR="00187DC4">
        <w:rPr>
          <w:rFonts w:asciiTheme="majorBidi" w:hAnsiTheme="majorBidi" w:cstheme="majorBidi"/>
          <w:sz w:val="22"/>
          <w:szCs w:val="22"/>
        </w:rPr>
        <w:t xml:space="preserve"> governmental and N</w:t>
      </w:r>
      <w:r w:rsidR="00A439E5">
        <w:rPr>
          <w:rFonts w:asciiTheme="majorBidi" w:hAnsiTheme="majorBidi" w:cstheme="majorBidi"/>
          <w:sz w:val="22"/>
          <w:szCs w:val="22"/>
        </w:rPr>
        <w:t>PISH</w:t>
      </w:r>
      <w:r w:rsidR="0038749A">
        <w:rPr>
          <w:rFonts w:asciiTheme="majorBidi" w:hAnsiTheme="majorBidi" w:cstheme="majorBidi"/>
          <w:sz w:val="22"/>
          <w:szCs w:val="22"/>
        </w:rPr>
        <w:t xml:space="preserve"> sectors</w:t>
      </w:r>
      <w:r w:rsidR="00A439E5">
        <w:rPr>
          <w:rFonts w:asciiTheme="majorBidi" w:hAnsiTheme="majorBidi" w:cstheme="majorBidi"/>
          <w:sz w:val="22"/>
          <w:szCs w:val="22"/>
        </w:rPr>
        <w:t>.</w:t>
      </w:r>
      <w:r w:rsidR="008154BE">
        <w:rPr>
          <w:rFonts w:asciiTheme="majorBidi" w:hAnsiTheme="majorBidi" w:cstheme="majorBidi"/>
          <w:sz w:val="22"/>
          <w:szCs w:val="22"/>
        </w:rPr>
        <w:t xml:space="preserve"> </w:t>
      </w:r>
    </w:p>
    <w:p w:rsidR="008154BE" w:rsidRPr="0013535B" w:rsidRDefault="008154BE" w:rsidP="008154BE">
      <w:pPr>
        <w:pStyle w:val="BodyText2"/>
        <w:numPr>
          <w:ilvl w:val="0"/>
          <w:numId w:val="15"/>
        </w:numPr>
        <w:bidi w:val="0"/>
        <w:jc w:val="both"/>
        <w:rPr>
          <w:rFonts w:asciiTheme="majorBidi" w:hAnsiTheme="majorBidi" w:cstheme="majorBidi"/>
          <w:sz w:val="22"/>
          <w:szCs w:val="22"/>
        </w:rPr>
      </w:pPr>
      <w:r>
        <w:rPr>
          <w:rFonts w:asciiTheme="majorBidi" w:hAnsiTheme="majorBidi" w:cstheme="majorBidi"/>
          <w:sz w:val="22"/>
          <w:szCs w:val="22"/>
        </w:rPr>
        <w:t>Difficulties in estimating out</w:t>
      </w:r>
      <w:r w:rsidR="00D95D9A">
        <w:rPr>
          <w:rFonts w:asciiTheme="majorBidi" w:hAnsiTheme="majorBidi" w:cstheme="majorBidi"/>
          <w:sz w:val="22"/>
          <w:szCs w:val="22"/>
        </w:rPr>
        <w:t>put from household ICT services (informal sector).</w:t>
      </w:r>
    </w:p>
    <w:p w:rsidR="00457765" w:rsidRDefault="000F6214" w:rsidP="008F50FD">
      <w:pPr>
        <w:pStyle w:val="BodyText2"/>
        <w:numPr>
          <w:ilvl w:val="0"/>
          <w:numId w:val="15"/>
        </w:numPr>
        <w:bidi w:val="0"/>
        <w:jc w:val="both"/>
        <w:rPr>
          <w:rFonts w:asciiTheme="majorBidi" w:hAnsiTheme="majorBidi" w:cstheme="majorBidi"/>
          <w:sz w:val="22"/>
          <w:szCs w:val="22"/>
        </w:rPr>
      </w:pPr>
      <w:r w:rsidRPr="0013535B">
        <w:rPr>
          <w:rFonts w:asciiTheme="majorBidi" w:hAnsiTheme="majorBidi" w:cstheme="majorBidi"/>
          <w:sz w:val="22"/>
          <w:szCs w:val="22"/>
        </w:rPr>
        <w:t>Obstacles in estimating data es</w:t>
      </w:r>
      <w:r w:rsidR="00283517" w:rsidRPr="0013535B">
        <w:rPr>
          <w:rFonts w:asciiTheme="majorBidi" w:hAnsiTheme="majorBidi" w:cstheme="majorBidi"/>
          <w:sz w:val="22"/>
          <w:szCs w:val="22"/>
        </w:rPr>
        <w:t xml:space="preserve">pecially that associated </w:t>
      </w:r>
      <w:r w:rsidR="00106130">
        <w:rPr>
          <w:rFonts w:asciiTheme="majorBidi" w:hAnsiTheme="majorBidi" w:cstheme="majorBidi"/>
          <w:sz w:val="22"/>
          <w:szCs w:val="22"/>
        </w:rPr>
        <w:t xml:space="preserve">with </w:t>
      </w:r>
      <w:r w:rsidR="00283517" w:rsidRPr="0013535B">
        <w:rPr>
          <w:rFonts w:asciiTheme="majorBidi" w:hAnsiTheme="majorBidi" w:cstheme="majorBidi"/>
          <w:sz w:val="22"/>
          <w:szCs w:val="22"/>
        </w:rPr>
        <w:t xml:space="preserve"> e-</w:t>
      </w:r>
      <w:r w:rsidRPr="0013535B">
        <w:rPr>
          <w:rFonts w:asciiTheme="majorBidi" w:hAnsiTheme="majorBidi" w:cstheme="majorBidi"/>
          <w:sz w:val="22"/>
          <w:szCs w:val="22"/>
        </w:rPr>
        <w:t xml:space="preserve">commerce. </w:t>
      </w:r>
    </w:p>
    <w:p w:rsidR="00187DC4" w:rsidRPr="008F50FD" w:rsidRDefault="00187DC4" w:rsidP="00187DC4">
      <w:pPr>
        <w:pStyle w:val="BodyText2"/>
        <w:bidi w:val="0"/>
        <w:ind w:left="780"/>
        <w:jc w:val="both"/>
        <w:rPr>
          <w:rFonts w:asciiTheme="majorBidi" w:hAnsiTheme="majorBidi" w:cstheme="majorBidi"/>
          <w:sz w:val="22"/>
          <w:szCs w:val="22"/>
        </w:rPr>
      </w:pPr>
    </w:p>
    <w:p w:rsidR="00457765" w:rsidRPr="001E314C" w:rsidRDefault="00405DAF" w:rsidP="00405DAF">
      <w:pPr>
        <w:pStyle w:val="BodyText2"/>
        <w:bidi w:val="0"/>
        <w:jc w:val="both"/>
        <w:rPr>
          <w:rFonts w:asciiTheme="majorBidi" w:hAnsiTheme="majorBidi" w:cstheme="majorBidi"/>
          <w:b/>
          <w:bCs/>
          <w:sz w:val="22"/>
          <w:szCs w:val="22"/>
        </w:rPr>
      </w:pPr>
      <w:r>
        <w:rPr>
          <w:rFonts w:asciiTheme="majorBidi" w:hAnsiTheme="majorBidi" w:cstheme="majorBidi"/>
          <w:b/>
          <w:bCs/>
          <w:sz w:val="22"/>
          <w:szCs w:val="22"/>
        </w:rPr>
        <w:t xml:space="preserve">5. </w:t>
      </w:r>
      <w:r w:rsidR="00F73A16">
        <w:rPr>
          <w:rFonts w:asciiTheme="majorBidi" w:hAnsiTheme="majorBidi" w:cstheme="majorBidi"/>
          <w:b/>
          <w:bCs/>
          <w:sz w:val="22"/>
          <w:szCs w:val="22"/>
        </w:rPr>
        <w:t>Recommendations</w:t>
      </w:r>
      <w:r w:rsidR="00457765" w:rsidRPr="00457765">
        <w:rPr>
          <w:rFonts w:asciiTheme="majorBidi" w:hAnsiTheme="majorBidi" w:cstheme="majorBidi"/>
          <w:b/>
          <w:bCs/>
          <w:sz w:val="22"/>
          <w:szCs w:val="22"/>
        </w:rPr>
        <w:t xml:space="preserve"> </w:t>
      </w:r>
    </w:p>
    <w:p w:rsidR="00E12BF8" w:rsidRPr="00E12BF8" w:rsidRDefault="00E12BF8" w:rsidP="00E12BF8">
      <w:pPr>
        <w:pStyle w:val="ListParagraph"/>
        <w:numPr>
          <w:ilvl w:val="0"/>
          <w:numId w:val="22"/>
        </w:numPr>
        <w:bidi w:val="0"/>
        <w:spacing w:line="240" w:lineRule="auto"/>
        <w:jc w:val="both"/>
        <w:rPr>
          <w:rFonts w:asciiTheme="majorBidi" w:eastAsia="Times New Roman" w:hAnsiTheme="majorBidi" w:cstheme="majorBidi"/>
          <w:lang w:eastAsia="ar-SA"/>
        </w:rPr>
      </w:pPr>
      <w:r>
        <w:rPr>
          <w:rFonts w:asciiTheme="majorBidi" w:eastAsia="Times New Roman" w:hAnsiTheme="majorBidi" w:cstheme="majorBidi"/>
          <w:lang w:eastAsia="ar-SA"/>
        </w:rPr>
        <w:t xml:space="preserve">Get </w:t>
      </w:r>
      <w:r w:rsidRPr="00E12BF8">
        <w:rPr>
          <w:rFonts w:asciiTheme="majorBidi" w:eastAsia="Times New Roman" w:hAnsiTheme="majorBidi" w:cstheme="majorBidi"/>
          <w:lang w:eastAsia="ar-SA"/>
        </w:rPr>
        <w:t xml:space="preserve">benefit from the experiences of other countries </w:t>
      </w:r>
      <w:r>
        <w:rPr>
          <w:rFonts w:asciiTheme="majorBidi" w:eastAsia="Times New Roman" w:hAnsiTheme="majorBidi" w:cstheme="majorBidi"/>
          <w:lang w:eastAsia="ar-SA"/>
        </w:rPr>
        <w:t>in ICTSA</w:t>
      </w:r>
      <w:r w:rsidRPr="00E12BF8">
        <w:rPr>
          <w:rFonts w:asciiTheme="majorBidi" w:eastAsia="Times New Roman" w:hAnsiTheme="majorBidi" w:cstheme="majorBidi"/>
          <w:lang w:eastAsia="ar-SA"/>
        </w:rPr>
        <w:t xml:space="preserve"> due to the lack of updated published reports</w:t>
      </w:r>
      <w:r>
        <w:rPr>
          <w:rFonts w:asciiTheme="majorBidi" w:eastAsia="Times New Roman" w:hAnsiTheme="majorBidi" w:cstheme="majorBidi"/>
          <w:lang w:eastAsia="ar-SA"/>
        </w:rPr>
        <w:t>.</w:t>
      </w:r>
    </w:p>
    <w:p w:rsidR="00B172E3" w:rsidRDefault="00F73A16" w:rsidP="00F44CC5">
      <w:pPr>
        <w:pStyle w:val="ListParagraph"/>
        <w:numPr>
          <w:ilvl w:val="0"/>
          <w:numId w:val="22"/>
        </w:numPr>
        <w:bidi w:val="0"/>
        <w:spacing w:line="240" w:lineRule="auto"/>
        <w:jc w:val="both"/>
        <w:rPr>
          <w:rFonts w:asciiTheme="majorBidi" w:hAnsiTheme="majorBidi" w:cstheme="majorBidi"/>
          <w:lang w:eastAsia="ar-SA"/>
        </w:rPr>
      </w:pPr>
      <w:r>
        <w:rPr>
          <w:rFonts w:asciiTheme="majorBidi" w:hAnsiTheme="majorBidi" w:cstheme="majorBidi"/>
          <w:lang w:eastAsia="ar-SA"/>
        </w:rPr>
        <w:t xml:space="preserve">Improvement of  data within ICT framework </w:t>
      </w:r>
      <w:r w:rsidR="00F44CC5">
        <w:rPr>
          <w:rFonts w:asciiTheme="majorBidi" w:hAnsiTheme="majorBidi" w:cstheme="majorBidi"/>
          <w:lang w:eastAsia="ar-SA"/>
        </w:rPr>
        <w:t xml:space="preserve">with ensuring </w:t>
      </w:r>
      <w:r>
        <w:rPr>
          <w:rFonts w:asciiTheme="majorBidi" w:hAnsiTheme="majorBidi" w:cstheme="majorBidi"/>
          <w:lang w:eastAsia="ar-SA"/>
        </w:rPr>
        <w:t xml:space="preserve"> the quality.</w:t>
      </w:r>
    </w:p>
    <w:p w:rsidR="00176A9C" w:rsidRDefault="003D3307" w:rsidP="00F73A16">
      <w:pPr>
        <w:pStyle w:val="ListParagraph"/>
        <w:numPr>
          <w:ilvl w:val="0"/>
          <w:numId w:val="22"/>
        </w:numPr>
        <w:bidi w:val="0"/>
        <w:spacing w:line="240" w:lineRule="auto"/>
        <w:jc w:val="both"/>
        <w:rPr>
          <w:rFonts w:asciiTheme="majorBidi" w:hAnsiTheme="majorBidi" w:cstheme="majorBidi"/>
          <w:lang w:eastAsia="ar-SA"/>
        </w:rPr>
      </w:pPr>
      <w:r>
        <w:rPr>
          <w:rFonts w:asciiTheme="majorBidi" w:hAnsiTheme="majorBidi" w:cstheme="majorBidi"/>
          <w:lang w:eastAsia="ar-SA"/>
        </w:rPr>
        <w:t xml:space="preserve">Obtaining data </w:t>
      </w:r>
      <w:r w:rsidR="00333096">
        <w:rPr>
          <w:rFonts w:asciiTheme="majorBidi" w:hAnsiTheme="majorBidi" w:cstheme="majorBidi"/>
          <w:lang w:eastAsia="ar-SA"/>
        </w:rPr>
        <w:t xml:space="preserve">for the expenditure of ICT from </w:t>
      </w:r>
      <w:r>
        <w:rPr>
          <w:rFonts w:asciiTheme="majorBidi" w:hAnsiTheme="majorBidi" w:cstheme="majorBidi"/>
          <w:lang w:eastAsia="ar-SA"/>
        </w:rPr>
        <w:t xml:space="preserve"> g</w:t>
      </w:r>
      <w:r w:rsidR="00333096">
        <w:rPr>
          <w:rFonts w:asciiTheme="majorBidi" w:hAnsiTheme="majorBidi" w:cstheme="majorBidi"/>
          <w:lang w:eastAsia="ar-SA"/>
        </w:rPr>
        <w:t>overnmental,</w:t>
      </w:r>
      <w:r w:rsidR="00F44CC5">
        <w:rPr>
          <w:rFonts w:asciiTheme="majorBidi" w:hAnsiTheme="majorBidi" w:cstheme="majorBidi"/>
          <w:lang w:eastAsia="ar-SA"/>
        </w:rPr>
        <w:t xml:space="preserve"> N</w:t>
      </w:r>
      <w:r>
        <w:rPr>
          <w:rFonts w:asciiTheme="majorBidi" w:hAnsiTheme="majorBidi" w:cstheme="majorBidi"/>
          <w:lang w:eastAsia="ar-SA"/>
        </w:rPr>
        <w:t xml:space="preserve">PISH </w:t>
      </w:r>
      <w:r w:rsidR="00333096">
        <w:rPr>
          <w:rFonts w:asciiTheme="majorBidi" w:hAnsiTheme="majorBidi" w:cstheme="majorBidi"/>
          <w:lang w:eastAsia="ar-SA"/>
        </w:rPr>
        <w:t xml:space="preserve"> and financial sectors</w:t>
      </w:r>
      <w:r w:rsidR="0095418A">
        <w:rPr>
          <w:rFonts w:asciiTheme="majorBidi" w:hAnsiTheme="majorBidi" w:cstheme="majorBidi"/>
          <w:lang w:eastAsia="ar-SA"/>
        </w:rPr>
        <w:t xml:space="preserve"> in order to compile ICTSA for Palestine for the year 2017</w:t>
      </w:r>
      <w:r w:rsidR="00176A9C">
        <w:rPr>
          <w:rFonts w:asciiTheme="majorBidi" w:hAnsiTheme="majorBidi" w:cstheme="majorBidi"/>
          <w:lang w:eastAsia="ar-SA"/>
        </w:rPr>
        <w:t>.</w:t>
      </w:r>
    </w:p>
    <w:p w:rsidR="000F3444" w:rsidRDefault="00176A9C" w:rsidP="00176A9C">
      <w:pPr>
        <w:pStyle w:val="ListParagraph"/>
        <w:numPr>
          <w:ilvl w:val="0"/>
          <w:numId w:val="22"/>
        </w:numPr>
        <w:bidi w:val="0"/>
        <w:spacing w:line="240" w:lineRule="auto"/>
        <w:jc w:val="both"/>
        <w:rPr>
          <w:rFonts w:asciiTheme="majorBidi" w:hAnsiTheme="majorBidi" w:cstheme="majorBidi"/>
          <w:lang w:eastAsia="ar-SA"/>
        </w:rPr>
      </w:pPr>
      <w:r>
        <w:rPr>
          <w:rFonts w:asciiTheme="majorBidi" w:hAnsiTheme="majorBidi" w:cstheme="majorBidi"/>
          <w:lang w:eastAsia="ar-SA"/>
        </w:rPr>
        <w:t>Further investigation and more details about labor/employment</w:t>
      </w:r>
      <w:r w:rsidR="00032EF7">
        <w:rPr>
          <w:rFonts w:asciiTheme="majorBidi" w:hAnsiTheme="majorBidi" w:cstheme="majorBidi"/>
          <w:lang w:eastAsia="ar-SA"/>
        </w:rPr>
        <w:t>, and productivity</w:t>
      </w:r>
      <w:r>
        <w:rPr>
          <w:rFonts w:asciiTheme="majorBidi" w:hAnsiTheme="majorBidi" w:cstheme="majorBidi"/>
          <w:lang w:eastAsia="ar-SA"/>
        </w:rPr>
        <w:t xml:space="preserve"> in the ICT specific and related activities.</w:t>
      </w:r>
    </w:p>
    <w:p w:rsidR="00F02740" w:rsidRDefault="00F02740" w:rsidP="00F02740">
      <w:pPr>
        <w:pStyle w:val="ListParagraph"/>
        <w:bidi w:val="0"/>
        <w:spacing w:line="240" w:lineRule="auto"/>
        <w:jc w:val="both"/>
        <w:rPr>
          <w:rFonts w:asciiTheme="majorBidi" w:hAnsiTheme="majorBidi" w:cstheme="majorBidi"/>
          <w:lang w:eastAsia="ar-SA"/>
        </w:rPr>
      </w:pPr>
    </w:p>
    <w:p w:rsidR="00F73A16" w:rsidRPr="00667F48" w:rsidRDefault="000F3444" w:rsidP="00667F48">
      <w:pPr>
        <w:pStyle w:val="ListParagraph"/>
        <w:numPr>
          <w:ilvl w:val="0"/>
          <w:numId w:val="23"/>
        </w:numPr>
        <w:bidi w:val="0"/>
        <w:rPr>
          <w:rFonts w:asciiTheme="majorBidi" w:hAnsiTheme="majorBidi" w:cstheme="majorBidi"/>
          <w:b/>
          <w:bCs/>
          <w:lang w:eastAsia="ar-SA"/>
        </w:rPr>
      </w:pPr>
      <w:r w:rsidRPr="00667F48">
        <w:rPr>
          <w:rFonts w:asciiTheme="majorBidi" w:hAnsiTheme="majorBidi" w:cstheme="majorBidi"/>
          <w:b/>
          <w:bCs/>
          <w:lang w:eastAsia="ar-SA"/>
        </w:rPr>
        <w:t>References</w:t>
      </w:r>
    </w:p>
    <w:p w:rsidR="00667F48" w:rsidRPr="00667F48" w:rsidRDefault="000F3444" w:rsidP="00D41620">
      <w:pPr>
        <w:pStyle w:val="ListParagraph"/>
        <w:bidi w:val="0"/>
        <w:ind w:left="360"/>
        <w:jc w:val="both"/>
        <w:rPr>
          <w:rFonts w:asciiTheme="majorBidi" w:hAnsiTheme="majorBidi" w:cstheme="majorBidi"/>
          <w:b/>
          <w:bCs/>
          <w:lang w:eastAsia="ar-SA"/>
        </w:rPr>
      </w:pPr>
      <w:r>
        <w:rPr>
          <w:rFonts w:asciiTheme="majorBidi" w:hAnsiTheme="majorBidi" w:cstheme="majorBidi"/>
          <w:b/>
          <w:bCs/>
          <w:lang w:eastAsia="ar-SA"/>
        </w:rPr>
        <w:lastRenderedPageBreak/>
        <w:t xml:space="preserve">[1] Information and Communication  Technology satellite account for South Africa, 2012.  </w:t>
      </w:r>
      <w:r w:rsidRPr="008E1D07">
        <w:rPr>
          <w:rFonts w:asciiTheme="majorBidi" w:hAnsiTheme="majorBidi" w:cstheme="majorBidi"/>
          <w:lang w:eastAsia="ar-SA"/>
        </w:rPr>
        <w:t>Report No: 04-07-01</w:t>
      </w:r>
      <w:r w:rsidR="00605A02" w:rsidRPr="008E1D07">
        <w:rPr>
          <w:rFonts w:asciiTheme="majorBidi" w:hAnsiTheme="majorBidi" w:cstheme="majorBidi"/>
          <w:lang w:eastAsia="ar-SA"/>
        </w:rPr>
        <w:t>, March 2015.</w:t>
      </w:r>
    </w:p>
    <w:p w:rsidR="00360AD8" w:rsidRDefault="00605A02" w:rsidP="00D41620">
      <w:pPr>
        <w:pStyle w:val="ListParagraph"/>
        <w:bidi w:val="0"/>
        <w:ind w:left="360"/>
        <w:jc w:val="both"/>
        <w:rPr>
          <w:rFonts w:asciiTheme="majorBidi" w:hAnsiTheme="majorBidi" w:cstheme="majorBidi"/>
          <w:b/>
          <w:bCs/>
          <w:lang w:eastAsia="ar-SA"/>
        </w:rPr>
      </w:pPr>
      <w:r>
        <w:rPr>
          <w:rFonts w:asciiTheme="majorBidi" w:hAnsiTheme="majorBidi" w:cstheme="majorBidi"/>
          <w:b/>
          <w:bCs/>
          <w:lang w:eastAsia="ar-SA"/>
        </w:rPr>
        <w:t xml:space="preserve">[2] </w:t>
      </w:r>
      <w:proofErr w:type="spellStart"/>
      <w:r>
        <w:rPr>
          <w:rFonts w:asciiTheme="majorBidi" w:hAnsiTheme="majorBidi" w:cstheme="majorBidi"/>
          <w:b/>
          <w:bCs/>
          <w:lang w:eastAsia="ar-SA"/>
        </w:rPr>
        <w:t>Organisation</w:t>
      </w:r>
      <w:proofErr w:type="spellEnd"/>
      <w:r>
        <w:rPr>
          <w:rFonts w:asciiTheme="majorBidi" w:hAnsiTheme="majorBidi" w:cstheme="majorBidi"/>
          <w:b/>
          <w:bCs/>
          <w:lang w:eastAsia="ar-SA"/>
        </w:rPr>
        <w:t xml:space="preserve"> for Economic Cooperation and Development- Guide to measuring the Information Society, 2009.</w:t>
      </w:r>
    </w:p>
    <w:p w:rsidR="00667F48" w:rsidRDefault="00667F48" w:rsidP="00D41620">
      <w:pPr>
        <w:pStyle w:val="ListParagraph"/>
        <w:bidi w:val="0"/>
        <w:ind w:left="360"/>
        <w:jc w:val="both"/>
        <w:rPr>
          <w:rFonts w:asciiTheme="majorBidi" w:hAnsiTheme="majorBidi" w:cstheme="majorBidi"/>
          <w:b/>
          <w:bCs/>
          <w:lang w:eastAsia="ar-SA"/>
        </w:rPr>
      </w:pPr>
      <w:r>
        <w:rPr>
          <w:rFonts w:asciiTheme="majorBidi" w:hAnsiTheme="majorBidi" w:cstheme="majorBidi"/>
          <w:b/>
          <w:bCs/>
          <w:lang w:eastAsia="ar-SA"/>
        </w:rPr>
        <w:t>[3]</w:t>
      </w:r>
      <w:r w:rsidR="00F14CAB">
        <w:rPr>
          <w:rFonts w:asciiTheme="majorBidi" w:hAnsiTheme="majorBidi" w:cstheme="majorBidi"/>
          <w:b/>
          <w:bCs/>
          <w:lang w:eastAsia="ar-SA"/>
        </w:rPr>
        <w:t xml:space="preserve"> </w:t>
      </w:r>
      <w:r w:rsidR="00F14CAB" w:rsidRPr="00F14CAB">
        <w:rPr>
          <w:rFonts w:asciiTheme="majorBidi" w:hAnsiTheme="majorBidi" w:cstheme="majorBidi"/>
          <w:b/>
          <w:bCs/>
          <w:lang w:eastAsia="ar-SA"/>
        </w:rPr>
        <w:t>Palestinian Central Bureau of Statistics, 2018. Registered Foreign Trade Statistics - Goods and Services, 2017: Main Results. Ramallah - Palestine.</w:t>
      </w:r>
    </w:p>
    <w:p w:rsidR="00360AD8" w:rsidRPr="00D77F51" w:rsidRDefault="00360AD8" w:rsidP="00D41620">
      <w:pPr>
        <w:pStyle w:val="ListParagraph"/>
        <w:bidi w:val="0"/>
        <w:ind w:left="360"/>
        <w:jc w:val="both"/>
        <w:rPr>
          <w:rFonts w:asciiTheme="majorBidi" w:hAnsiTheme="majorBidi" w:cstheme="majorBidi"/>
          <w:b/>
          <w:bCs/>
          <w:lang w:eastAsia="ar-SA"/>
        </w:rPr>
      </w:pPr>
      <w:r>
        <w:rPr>
          <w:rFonts w:asciiTheme="majorBidi" w:hAnsiTheme="majorBidi" w:cstheme="majorBidi"/>
          <w:b/>
          <w:bCs/>
          <w:lang w:eastAsia="ar-SA"/>
        </w:rPr>
        <w:t>[</w:t>
      </w:r>
      <w:r w:rsidR="00667F48">
        <w:rPr>
          <w:rFonts w:asciiTheme="majorBidi" w:hAnsiTheme="majorBidi" w:cstheme="majorBidi"/>
          <w:b/>
          <w:bCs/>
          <w:lang w:eastAsia="ar-SA"/>
        </w:rPr>
        <w:t>4</w:t>
      </w:r>
      <w:r>
        <w:rPr>
          <w:rFonts w:asciiTheme="majorBidi" w:hAnsiTheme="majorBidi" w:cstheme="majorBidi"/>
          <w:b/>
          <w:bCs/>
          <w:lang w:eastAsia="ar-SA"/>
        </w:rPr>
        <w:t xml:space="preserve">] </w:t>
      </w:r>
      <w:r w:rsidRPr="00D77F51">
        <w:rPr>
          <w:rFonts w:asciiTheme="majorBidi" w:hAnsiTheme="majorBidi" w:cstheme="majorBidi"/>
          <w:b/>
          <w:bCs/>
          <w:lang w:eastAsia="ar-SA"/>
        </w:rPr>
        <w:t xml:space="preserve">Palestinian Central Bureau of Statistics, 2018.  Economic Surveys Series </w:t>
      </w:r>
      <w:r w:rsidRPr="00D77F51">
        <w:rPr>
          <w:rFonts w:asciiTheme="majorBidi" w:hAnsiTheme="majorBidi" w:cstheme="majorBidi" w:hint="cs"/>
          <w:b/>
          <w:bCs/>
          <w:rtl/>
          <w:lang w:eastAsia="ar-SA"/>
        </w:rPr>
        <w:t>2017</w:t>
      </w:r>
      <w:r w:rsidRPr="00D77F51">
        <w:rPr>
          <w:rFonts w:asciiTheme="majorBidi" w:hAnsiTheme="majorBidi" w:cstheme="majorBidi"/>
          <w:b/>
          <w:bCs/>
          <w:lang w:eastAsia="ar-SA"/>
        </w:rPr>
        <w:t>: Main Results.  Ramallah – Palestine</w:t>
      </w:r>
      <w:r w:rsidRPr="00D77F51">
        <w:rPr>
          <w:rFonts w:asciiTheme="majorBidi" w:hAnsiTheme="majorBidi" w:cstheme="majorBidi"/>
          <w:i/>
          <w:iCs/>
        </w:rPr>
        <w:t>.</w:t>
      </w:r>
    </w:p>
    <w:p w:rsidR="00360AD8" w:rsidRPr="000F3444" w:rsidRDefault="00D77F51" w:rsidP="00D41620">
      <w:pPr>
        <w:pStyle w:val="ListParagraph"/>
        <w:bidi w:val="0"/>
        <w:ind w:left="360"/>
        <w:jc w:val="both"/>
        <w:rPr>
          <w:rFonts w:asciiTheme="majorBidi" w:hAnsiTheme="majorBidi" w:cstheme="majorBidi"/>
          <w:b/>
          <w:bCs/>
          <w:rtl/>
          <w:lang w:eastAsia="ar-SA"/>
        </w:rPr>
      </w:pPr>
      <w:r>
        <w:rPr>
          <w:rFonts w:asciiTheme="majorBidi" w:hAnsiTheme="majorBidi" w:cstheme="majorBidi"/>
          <w:b/>
          <w:bCs/>
          <w:lang w:eastAsia="ar-SA"/>
        </w:rPr>
        <w:t>[</w:t>
      </w:r>
      <w:r w:rsidR="00667F48">
        <w:rPr>
          <w:rFonts w:asciiTheme="majorBidi" w:hAnsiTheme="majorBidi" w:cstheme="majorBidi"/>
          <w:b/>
          <w:bCs/>
          <w:lang w:eastAsia="ar-SA"/>
        </w:rPr>
        <w:t>5</w:t>
      </w:r>
      <w:r>
        <w:rPr>
          <w:rFonts w:asciiTheme="majorBidi" w:hAnsiTheme="majorBidi" w:cstheme="majorBidi"/>
          <w:b/>
          <w:bCs/>
          <w:lang w:eastAsia="ar-SA"/>
        </w:rPr>
        <w:t xml:space="preserve">] </w:t>
      </w:r>
      <w:r w:rsidR="00DA1C37" w:rsidRPr="00D77F51">
        <w:rPr>
          <w:rFonts w:asciiTheme="majorBidi" w:hAnsiTheme="majorBidi" w:cstheme="majorBidi"/>
          <w:b/>
          <w:bCs/>
          <w:lang w:eastAsia="ar-SA"/>
        </w:rPr>
        <w:t>Palestinian Central Bureau of Statistics, 2018</w:t>
      </w:r>
      <w:r w:rsidR="00DA1C37">
        <w:rPr>
          <w:rFonts w:asciiTheme="majorBidi" w:hAnsiTheme="majorBidi" w:cstheme="majorBidi"/>
          <w:b/>
          <w:bCs/>
          <w:lang w:eastAsia="ar-SA"/>
        </w:rPr>
        <w:t>.  Main Finding of Living Standards in Palestine (Expenditure, Consumption and Poverty), 2017.  Ramallah – Palestine.</w:t>
      </w:r>
    </w:p>
    <w:sectPr w:rsidR="00360AD8" w:rsidRPr="000F3444" w:rsidSect="003B44F2">
      <w:footerReference w:type="default" r:id="rId10"/>
      <w:pgSz w:w="12240" w:h="15840"/>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0DD" w:rsidRDefault="006C20DD" w:rsidP="00105A8F">
      <w:pPr>
        <w:spacing w:after="0" w:line="240" w:lineRule="auto"/>
      </w:pPr>
      <w:r>
        <w:separator/>
      </w:r>
    </w:p>
  </w:endnote>
  <w:endnote w:type="continuationSeparator" w:id="0">
    <w:p w:rsidR="006C20DD" w:rsidRDefault="006C20DD" w:rsidP="00105A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89A" w:rsidRDefault="004C689A" w:rsidP="00D63575">
    <w:pPr>
      <w:pStyle w:val="Footer"/>
      <w:jc w:val="center"/>
    </w:pPr>
  </w:p>
  <w:p w:rsidR="004C689A" w:rsidRDefault="004C68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0DD" w:rsidRDefault="006C20DD" w:rsidP="00105A8F">
      <w:pPr>
        <w:spacing w:after="0" w:line="240" w:lineRule="auto"/>
      </w:pPr>
      <w:r>
        <w:separator/>
      </w:r>
    </w:p>
  </w:footnote>
  <w:footnote w:type="continuationSeparator" w:id="0">
    <w:p w:rsidR="006C20DD" w:rsidRDefault="006C20DD" w:rsidP="00105A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B7F"/>
    <w:multiLevelType w:val="hybridMultilevel"/>
    <w:tmpl w:val="FB92C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F4134"/>
    <w:multiLevelType w:val="hybridMultilevel"/>
    <w:tmpl w:val="E6607E6A"/>
    <w:lvl w:ilvl="0" w:tplc="E4066AE2">
      <w:start w:val="3"/>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164A4"/>
    <w:multiLevelType w:val="hybridMultilevel"/>
    <w:tmpl w:val="8738F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71027"/>
    <w:multiLevelType w:val="hybridMultilevel"/>
    <w:tmpl w:val="48B4A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06A18"/>
    <w:multiLevelType w:val="multilevel"/>
    <w:tmpl w:val="26FC0A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48D7F25"/>
    <w:multiLevelType w:val="hybridMultilevel"/>
    <w:tmpl w:val="FC3632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BB1F7F"/>
    <w:multiLevelType w:val="hybridMultilevel"/>
    <w:tmpl w:val="F3883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FC5D96"/>
    <w:multiLevelType w:val="hybridMultilevel"/>
    <w:tmpl w:val="0126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865F5"/>
    <w:multiLevelType w:val="hybridMultilevel"/>
    <w:tmpl w:val="33EE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A94A49"/>
    <w:multiLevelType w:val="hybridMultilevel"/>
    <w:tmpl w:val="E03E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6D711D"/>
    <w:multiLevelType w:val="hybridMultilevel"/>
    <w:tmpl w:val="77462046"/>
    <w:lvl w:ilvl="0" w:tplc="835246E2">
      <w:start w:val="1"/>
      <w:numFmt w:val="decimal"/>
      <w:lvlText w:val="%1."/>
      <w:lvlJc w:val="left"/>
      <w:pPr>
        <w:tabs>
          <w:tab w:val="num" w:pos="900"/>
        </w:tabs>
        <w:ind w:left="900" w:hanging="360"/>
      </w:pPr>
    </w:lvl>
    <w:lvl w:ilvl="1" w:tplc="BB589188" w:tentative="1">
      <w:start w:val="1"/>
      <w:numFmt w:val="decimal"/>
      <w:lvlText w:val="%2."/>
      <w:lvlJc w:val="left"/>
      <w:pPr>
        <w:tabs>
          <w:tab w:val="num" w:pos="1620"/>
        </w:tabs>
        <w:ind w:left="1620" w:hanging="360"/>
      </w:pPr>
    </w:lvl>
    <w:lvl w:ilvl="2" w:tplc="A0683DCC" w:tentative="1">
      <w:start w:val="1"/>
      <w:numFmt w:val="decimal"/>
      <w:lvlText w:val="%3."/>
      <w:lvlJc w:val="left"/>
      <w:pPr>
        <w:tabs>
          <w:tab w:val="num" w:pos="2340"/>
        </w:tabs>
        <w:ind w:left="2340" w:hanging="360"/>
      </w:pPr>
    </w:lvl>
    <w:lvl w:ilvl="3" w:tplc="18828962" w:tentative="1">
      <w:start w:val="1"/>
      <w:numFmt w:val="decimal"/>
      <w:lvlText w:val="%4."/>
      <w:lvlJc w:val="left"/>
      <w:pPr>
        <w:tabs>
          <w:tab w:val="num" w:pos="3060"/>
        </w:tabs>
        <w:ind w:left="3060" w:hanging="360"/>
      </w:pPr>
    </w:lvl>
    <w:lvl w:ilvl="4" w:tplc="1E90E9C6" w:tentative="1">
      <w:start w:val="1"/>
      <w:numFmt w:val="decimal"/>
      <w:lvlText w:val="%5."/>
      <w:lvlJc w:val="left"/>
      <w:pPr>
        <w:tabs>
          <w:tab w:val="num" w:pos="3780"/>
        </w:tabs>
        <w:ind w:left="3780" w:hanging="360"/>
      </w:pPr>
    </w:lvl>
    <w:lvl w:ilvl="5" w:tplc="CEE81C34" w:tentative="1">
      <w:start w:val="1"/>
      <w:numFmt w:val="decimal"/>
      <w:lvlText w:val="%6."/>
      <w:lvlJc w:val="left"/>
      <w:pPr>
        <w:tabs>
          <w:tab w:val="num" w:pos="4500"/>
        </w:tabs>
        <w:ind w:left="4500" w:hanging="360"/>
      </w:pPr>
    </w:lvl>
    <w:lvl w:ilvl="6" w:tplc="5CF6B8F0" w:tentative="1">
      <w:start w:val="1"/>
      <w:numFmt w:val="decimal"/>
      <w:lvlText w:val="%7."/>
      <w:lvlJc w:val="left"/>
      <w:pPr>
        <w:tabs>
          <w:tab w:val="num" w:pos="5220"/>
        </w:tabs>
        <w:ind w:left="5220" w:hanging="360"/>
      </w:pPr>
    </w:lvl>
    <w:lvl w:ilvl="7" w:tplc="6B9CA6D4" w:tentative="1">
      <w:start w:val="1"/>
      <w:numFmt w:val="decimal"/>
      <w:lvlText w:val="%8."/>
      <w:lvlJc w:val="left"/>
      <w:pPr>
        <w:tabs>
          <w:tab w:val="num" w:pos="5940"/>
        </w:tabs>
        <w:ind w:left="5940" w:hanging="360"/>
      </w:pPr>
    </w:lvl>
    <w:lvl w:ilvl="8" w:tplc="BE0085A8" w:tentative="1">
      <w:start w:val="1"/>
      <w:numFmt w:val="decimal"/>
      <w:lvlText w:val="%9."/>
      <w:lvlJc w:val="left"/>
      <w:pPr>
        <w:tabs>
          <w:tab w:val="num" w:pos="6660"/>
        </w:tabs>
        <w:ind w:left="6660" w:hanging="360"/>
      </w:pPr>
    </w:lvl>
  </w:abstractNum>
  <w:abstractNum w:abstractNumId="11">
    <w:nsid w:val="42F3273E"/>
    <w:multiLevelType w:val="hybridMultilevel"/>
    <w:tmpl w:val="6076E2B2"/>
    <w:lvl w:ilvl="0" w:tplc="17F693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E94E69"/>
    <w:multiLevelType w:val="hybridMultilevel"/>
    <w:tmpl w:val="B058BA6A"/>
    <w:lvl w:ilvl="0" w:tplc="FD7632DC">
      <w:start w:val="1"/>
      <w:numFmt w:val="bullet"/>
      <w:lvlText w:val="•"/>
      <w:lvlJc w:val="left"/>
      <w:pPr>
        <w:tabs>
          <w:tab w:val="num" w:pos="720"/>
        </w:tabs>
        <w:ind w:left="720" w:hanging="360"/>
      </w:pPr>
      <w:rPr>
        <w:rFonts w:ascii="Times New Roman" w:hAnsi="Times New Roman" w:hint="default"/>
      </w:rPr>
    </w:lvl>
    <w:lvl w:ilvl="1" w:tplc="A7A4D9D4" w:tentative="1">
      <w:start w:val="1"/>
      <w:numFmt w:val="bullet"/>
      <w:lvlText w:val="•"/>
      <w:lvlJc w:val="left"/>
      <w:pPr>
        <w:tabs>
          <w:tab w:val="num" w:pos="1440"/>
        </w:tabs>
        <w:ind w:left="1440" w:hanging="360"/>
      </w:pPr>
      <w:rPr>
        <w:rFonts w:ascii="Times New Roman" w:hAnsi="Times New Roman" w:hint="default"/>
      </w:rPr>
    </w:lvl>
    <w:lvl w:ilvl="2" w:tplc="2DA47CA2" w:tentative="1">
      <w:start w:val="1"/>
      <w:numFmt w:val="bullet"/>
      <w:lvlText w:val="•"/>
      <w:lvlJc w:val="left"/>
      <w:pPr>
        <w:tabs>
          <w:tab w:val="num" w:pos="2160"/>
        </w:tabs>
        <w:ind w:left="2160" w:hanging="360"/>
      </w:pPr>
      <w:rPr>
        <w:rFonts w:ascii="Times New Roman" w:hAnsi="Times New Roman" w:hint="default"/>
      </w:rPr>
    </w:lvl>
    <w:lvl w:ilvl="3" w:tplc="D1CC3108" w:tentative="1">
      <w:start w:val="1"/>
      <w:numFmt w:val="bullet"/>
      <w:lvlText w:val="•"/>
      <w:lvlJc w:val="left"/>
      <w:pPr>
        <w:tabs>
          <w:tab w:val="num" w:pos="2880"/>
        </w:tabs>
        <w:ind w:left="2880" w:hanging="360"/>
      </w:pPr>
      <w:rPr>
        <w:rFonts w:ascii="Times New Roman" w:hAnsi="Times New Roman" w:hint="default"/>
      </w:rPr>
    </w:lvl>
    <w:lvl w:ilvl="4" w:tplc="846A5D1A" w:tentative="1">
      <w:start w:val="1"/>
      <w:numFmt w:val="bullet"/>
      <w:lvlText w:val="•"/>
      <w:lvlJc w:val="left"/>
      <w:pPr>
        <w:tabs>
          <w:tab w:val="num" w:pos="3600"/>
        </w:tabs>
        <w:ind w:left="3600" w:hanging="360"/>
      </w:pPr>
      <w:rPr>
        <w:rFonts w:ascii="Times New Roman" w:hAnsi="Times New Roman" w:hint="default"/>
      </w:rPr>
    </w:lvl>
    <w:lvl w:ilvl="5" w:tplc="24D8CDE6" w:tentative="1">
      <w:start w:val="1"/>
      <w:numFmt w:val="bullet"/>
      <w:lvlText w:val="•"/>
      <w:lvlJc w:val="left"/>
      <w:pPr>
        <w:tabs>
          <w:tab w:val="num" w:pos="4320"/>
        </w:tabs>
        <w:ind w:left="4320" w:hanging="360"/>
      </w:pPr>
      <w:rPr>
        <w:rFonts w:ascii="Times New Roman" w:hAnsi="Times New Roman" w:hint="default"/>
      </w:rPr>
    </w:lvl>
    <w:lvl w:ilvl="6" w:tplc="A9940B00" w:tentative="1">
      <w:start w:val="1"/>
      <w:numFmt w:val="bullet"/>
      <w:lvlText w:val="•"/>
      <w:lvlJc w:val="left"/>
      <w:pPr>
        <w:tabs>
          <w:tab w:val="num" w:pos="5040"/>
        </w:tabs>
        <w:ind w:left="5040" w:hanging="360"/>
      </w:pPr>
      <w:rPr>
        <w:rFonts w:ascii="Times New Roman" w:hAnsi="Times New Roman" w:hint="default"/>
      </w:rPr>
    </w:lvl>
    <w:lvl w:ilvl="7" w:tplc="5D0AC4DA" w:tentative="1">
      <w:start w:val="1"/>
      <w:numFmt w:val="bullet"/>
      <w:lvlText w:val="•"/>
      <w:lvlJc w:val="left"/>
      <w:pPr>
        <w:tabs>
          <w:tab w:val="num" w:pos="5760"/>
        </w:tabs>
        <w:ind w:left="5760" w:hanging="360"/>
      </w:pPr>
      <w:rPr>
        <w:rFonts w:ascii="Times New Roman" w:hAnsi="Times New Roman" w:hint="default"/>
      </w:rPr>
    </w:lvl>
    <w:lvl w:ilvl="8" w:tplc="6B66C71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8E076CA"/>
    <w:multiLevelType w:val="hybridMultilevel"/>
    <w:tmpl w:val="E766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93426C"/>
    <w:multiLevelType w:val="hybridMultilevel"/>
    <w:tmpl w:val="F54602D8"/>
    <w:lvl w:ilvl="0" w:tplc="7CC64038">
      <w:start w:val="1"/>
      <w:numFmt w:val="bullet"/>
      <w:lvlText w:val="•"/>
      <w:lvlJc w:val="left"/>
      <w:pPr>
        <w:tabs>
          <w:tab w:val="num" w:pos="720"/>
        </w:tabs>
        <w:ind w:left="720" w:hanging="360"/>
      </w:pPr>
      <w:rPr>
        <w:rFonts w:ascii="Arial" w:hAnsi="Arial" w:hint="default"/>
      </w:rPr>
    </w:lvl>
    <w:lvl w:ilvl="1" w:tplc="38A0BD68" w:tentative="1">
      <w:start w:val="1"/>
      <w:numFmt w:val="bullet"/>
      <w:lvlText w:val="•"/>
      <w:lvlJc w:val="left"/>
      <w:pPr>
        <w:tabs>
          <w:tab w:val="num" w:pos="1440"/>
        </w:tabs>
        <w:ind w:left="1440" w:hanging="360"/>
      </w:pPr>
      <w:rPr>
        <w:rFonts w:ascii="Arial" w:hAnsi="Arial" w:hint="default"/>
      </w:rPr>
    </w:lvl>
    <w:lvl w:ilvl="2" w:tplc="CE7AC746" w:tentative="1">
      <w:start w:val="1"/>
      <w:numFmt w:val="bullet"/>
      <w:lvlText w:val="•"/>
      <w:lvlJc w:val="left"/>
      <w:pPr>
        <w:tabs>
          <w:tab w:val="num" w:pos="2160"/>
        </w:tabs>
        <w:ind w:left="2160" w:hanging="360"/>
      </w:pPr>
      <w:rPr>
        <w:rFonts w:ascii="Arial" w:hAnsi="Arial" w:hint="default"/>
      </w:rPr>
    </w:lvl>
    <w:lvl w:ilvl="3" w:tplc="802A681E" w:tentative="1">
      <w:start w:val="1"/>
      <w:numFmt w:val="bullet"/>
      <w:lvlText w:val="•"/>
      <w:lvlJc w:val="left"/>
      <w:pPr>
        <w:tabs>
          <w:tab w:val="num" w:pos="2880"/>
        </w:tabs>
        <w:ind w:left="2880" w:hanging="360"/>
      </w:pPr>
      <w:rPr>
        <w:rFonts w:ascii="Arial" w:hAnsi="Arial" w:hint="default"/>
      </w:rPr>
    </w:lvl>
    <w:lvl w:ilvl="4" w:tplc="C8A27CCA" w:tentative="1">
      <w:start w:val="1"/>
      <w:numFmt w:val="bullet"/>
      <w:lvlText w:val="•"/>
      <w:lvlJc w:val="left"/>
      <w:pPr>
        <w:tabs>
          <w:tab w:val="num" w:pos="3600"/>
        </w:tabs>
        <w:ind w:left="3600" w:hanging="360"/>
      </w:pPr>
      <w:rPr>
        <w:rFonts w:ascii="Arial" w:hAnsi="Arial" w:hint="default"/>
      </w:rPr>
    </w:lvl>
    <w:lvl w:ilvl="5" w:tplc="DFCC2BF0" w:tentative="1">
      <w:start w:val="1"/>
      <w:numFmt w:val="bullet"/>
      <w:lvlText w:val="•"/>
      <w:lvlJc w:val="left"/>
      <w:pPr>
        <w:tabs>
          <w:tab w:val="num" w:pos="4320"/>
        </w:tabs>
        <w:ind w:left="4320" w:hanging="360"/>
      </w:pPr>
      <w:rPr>
        <w:rFonts w:ascii="Arial" w:hAnsi="Arial" w:hint="default"/>
      </w:rPr>
    </w:lvl>
    <w:lvl w:ilvl="6" w:tplc="EBCEC8CA" w:tentative="1">
      <w:start w:val="1"/>
      <w:numFmt w:val="bullet"/>
      <w:lvlText w:val="•"/>
      <w:lvlJc w:val="left"/>
      <w:pPr>
        <w:tabs>
          <w:tab w:val="num" w:pos="5040"/>
        </w:tabs>
        <w:ind w:left="5040" w:hanging="360"/>
      </w:pPr>
      <w:rPr>
        <w:rFonts w:ascii="Arial" w:hAnsi="Arial" w:hint="default"/>
      </w:rPr>
    </w:lvl>
    <w:lvl w:ilvl="7" w:tplc="865C0BC4" w:tentative="1">
      <w:start w:val="1"/>
      <w:numFmt w:val="bullet"/>
      <w:lvlText w:val="•"/>
      <w:lvlJc w:val="left"/>
      <w:pPr>
        <w:tabs>
          <w:tab w:val="num" w:pos="5760"/>
        </w:tabs>
        <w:ind w:left="5760" w:hanging="360"/>
      </w:pPr>
      <w:rPr>
        <w:rFonts w:ascii="Arial" w:hAnsi="Arial" w:hint="default"/>
      </w:rPr>
    </w:lvl>
    <w:lvl w:ilvl="8" w:tplc="AB043EC0" w:tentative="1">
      <w:start w:val="1"/>
      <w:numFmt w:val="bullet"/>
      <w:lvlText w:val="•"/>
      <w:lvlJc w:val="left"/>
      <w:pPr>
        <w:tabs>
          <w:tab w:val="num" w:pos="6480"/>
        </w:tabs>
        <w:ind w:left="6480" w:hanging="360"/>
      </w:pPr>
      <w:rPr>
        <w:rFonts w:ascii="Arial" w:hAnsi="Arial" w:hint="default"/>
      </w:rPr>
    </w:lvl>
  </w:abstractNum>
  <w:abstractNum w:abstractNumId="15">
    <w:nsid w:val="4C3A06F4"/>
    <w:multiLevelType w:val="hybridMultilevel"/>
    <w:tmpl w:val="23E20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421A6"/>
    <w:multiLevelType w:val="hybridMultilevel"/>
    <w:tmpl w:val="33E6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CC7B49"/>
    <w:multiLevelType w:val="hybridMultilevel"/>
    <w:tmpl w:val="A860187E"/>
    <w:lvl w:ilvl="0" w:tplc="B82ACB9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0F052B"/>
    <w:multiLevelType w:val="hybridMultilevel"/>
    <w:tmpl w:val="BF9A1C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6066CE"/>
    <w:multiLevelType w:val="hybridMultilevel"/>
    <w:tmpl w:val="64CEA924"/>
    <w:lvl w:ilvl="0" w:tplc="77E4E410">
      <w:start w:val="1"/>
      <w:numFmt w:val="bullet"/>
      <w:lvlText w:val="•"/>
      <w:lvlJc w:val="left"/>
      <w:pPr>
        <w:tabs>
          <w:tab w:val="num" w:pos="720"/>
        </w:tabs>
        <w:ind w:left="720" w:hanging="360"/>
      </w:pPr>
      <w:rPr>
        <w:rFonts w:ascii="Arial" w:hAnsi="Arial" w:hint="default"/>
      </w:rPr>
    </w:lvl>
    <w:lvl w:ilvl="1" w:tplc="DE4C8D92" w:tentative="1">
      <w:start w:val="1"/>
      <w:numFmt w:val="bullet"/>
      <w:lvlText w:val="•"/>
      <w:lvlJc w:val="left"/>
      <w:pPr>
        <w:tabs>
          <w:tab w:val="num" w:pos="1440"/>
        </w:tabs>
        <w:ind w:left="1440" w:hanging="360"/>
      </w:pPr>
      <w:rPr>
        <w:rFonts w:ascii="Arial" w:hAnsi="Arial" w:hint="default"/>
      </w:rPr>
    </w:lvl>
    <w:lvl w:ilvl="2" w:tplc="951CEC68" w:tentative="1">
      <w:start w:val="1"/>
      <w:numFmt w:val="bullet"/>
      <w:lvlText w:val="•"/>
      <w:lvlJc w:val="left"/>
      <w:pPr>
        <w:tabs>
          <w:tab w:val="num" w:pos="2160"/>
        </w:tabs>
        <w:ind w:left="2160" w:hanging="360"/>
      </w:pPr>
      <w:rPr>
        <w:rFonts w:ascii="Arial" w:hAnsi="Arial" w:hint="default"/>
      </w:rPr>
    </w:lvl>
    <w:lvl w:ilvl="3" w:tplc="EB4ED31A" w:tentative="1">
      <w:start w:val="1"/>
      <w:numFmt w:val="bullet"/>
      <w:lvlText w:val="•"/>
      <w:lvlJc w:val="left"/>
      <w:pPr>
        <w:tabs>
          <w:tab w:val="num" w:pos="2880"/>
        </w:tabs>
        <w:ind w:left="2880" w:hanging="360"/>
      </w:pPr>
      <w:rPr>
        <w:rFonts w:ascii="Arial" w:hAnsi="Arial" w:hint="default"/>
      </w:rPr>
    </w:lvl>
    <w:lvl w:ilvl="4" w:tplc="1B88844C" w:tentative="1">
      <w:start w:val="1"/>
      <w:numFmt w:val="bullet"/>
      <w:lvlText w:val="•"/>
      <w:lvlJc w:val="left"/>
      <w:pPr>
        <w:tabs>
          <w:tab w:val="num" w:pos="3600"/>
        </w:tabs>
        <w:ind w:left="3600" w:hanging="360"/>
      </w:pPr>
      <w:rPr>
        <w:rFonts w:ascii="Arial" w:hAnsi="Arial" w:hint="default"/>
      </w:rPr>
    </w:lvl>
    <w:lvl w:ilvl="5" w:tplc="BC32845C" w:tentative="1">
      <w:start w:val="1"/>
      <w:numFmt w:val="bullet"/>
      <w:lvlText w:val="•"/>
      <w:lvlJc w:val="left"/>
      <w:pPr>
        <w:tabs>
          <w:tab w:val="num" w:pos="4320"/>
        </w:tabs>
        <w:ind w:left="4320" w:hanging="360"/>
      </w:pPr>
      <w:rPr>
        <w:rFonts w:ascii="Arial" w:hAnsi="Arial" w:hint="default"/>
      </w:rPr>
    </w:lvl>
    <w:lvl w:ilvl="6" w:tplc="643A8D8A" w:tentative="1">
      <w:start w:val="1"/>
      <w:numFmt w:val="bullet"/>
      <w:lvlText w:val="•"/>
      <w:lvlJc w:val="left"/>
      <w:pPr>
        <w:tabs>
          <w:tab w:val="num" w:pos="5040"/>
        </w:tabs>
        <w:ind w:left="5040" w:hanging="360"/>
      </w:pPr>
      <w:rPr>
        <w:rFonts w:ascii="Arial" w:hAnsi="Arial" w:hint="default"/>
      </w:rPr>
    </w:lvl>
    <w:lvl w:ilvl="7" w:tplc="5AB8C2C0" w:tentative="1">
      <w:start w:val="1"/>
      <w:numFmt w:val="bullet"/>
      <w:lvlText w:val="•"/>
      <w:lvlJc w:val="left"/>
      <w:pPr>
        <w:tabs>
          <w:tab w:val="num" w:pos="5760"/>
        </w:tabs>
        <w:ind w:left="5760" w:hanging="360"/>
      </w:pPr>
      <w:rPr>
        <w:rFonts w:ascii="Arial" w:hAnsi="Arial" w:hint="default"/>
      </w:rPr>
    </w:lvl>
    <w:lvl w:ilvl="8" w:tplc="E25A26DE" w:tentative="1">
      <w:start w:val="1"/>
      <w:numFmt w:val="bullet"/>
      <w:lvlText w:val="•"/>
      <w:lvlJc w:val="left"/>
      <w:pPr>
        <w:tabs>
          <w:tab w:val="num" w:pos="6480"/>
        </w:tabs>
        <w:ind w:left="6480" w:hanging="360"/>
      </w:pPr>
      <w:rPr>
        <w:rFonts w:ascii="Arial" w:hAnsi="Arial" w:hint="default"/>
      </w:rPr>
    </w:lvl>
  </w:abstractNum>
  <w:abstractNum w:abstractNumId="20">
    <w:nsid w:val="6F097215"/>
    <w:multiLevelType w:val="hybridMultilevel"/>
    <w:tmpl w:val="90B26456"/>
    <w:lvl w:ilvl="0" w:tplc="96189F3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3566D4"/>
    <w:multiLevelType w:val="hybridMultilevel"/>
    <w:tmpl w:val="AD46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736856"/>
    <w:multiLevelType w:val="hybridMultilevel"/>
    <w:tmpl w:val="0DC815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7E293261"/>
    <w:multiLevelType w:val="multilevel"/>
    <w:tmpl w:val="02FE38F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3"/>
  </w:num>
  <w:num w:numId="4">
    <w:abstractNumId w:val="21"/>
  </w:num>
  <w:num w:numId="5">
    <w:abstractNumId w:val="10"/>
  </w:num>
  <w:num w:numId="6">
    <w:abstractNumId w:val="15"/>
  </w:num>
  <w:num w:numId="7">
    <w:abstractNumId w:val="12"/>
  </w:num>
  <w:num w:numId="8">
    <w:abstractNumId w:val="8"/>
  </w:num>
  <w:num w:numId="9">
    <w:abstractNumId w:val="14"/>
  </w:num>
  <w:num w:numId="10">
    <w:abstractNumId w:val="18"/>
  </w:num>
  <w:num w:numId="11">
    <w:abstractNumId w:val="2"/>
  </w:num>
  <w:num w:numId="12">
    <w:abstractNumId w:val="1"/>
  </w:num>
  <w:num w:numId="13">
    <w:abstractNumId w:val="7"/>
  </w:num>
  <w:num w:numId="14">
    <w:abstractNumId w:val="19"/>
  </w:num>
  <w:num w:numId="15">
    <w:abstractNumId w:val="22"/>
  </w:num>
  <w:num w:numId="16">
    <w:abstractNumId w:val="16"/>
  </w:num>
  <w:num w:numId="17">
    <w:abstractNumId w:val="17"/>
  </w:num>
  <w:num w:numId="18">
    <w:abstractNumId w:val="4"/>
  </w:num>
  <w:num w:numId="19">
    <w:abstractNumId w:val="3"/>
  </w:num>
  <w:num w:numId="20">
    <w:abstractNumId w:val="5"/>
  </w:num>
  <w:num w:numId="21">
    <w:abstractNumId w:val="0"/>
  </w:num>
  <w:num w:numId="22">
    <w:abstractNumId w:val="6"/>
  </w:num>
  <w:num w:numId="23">
    <w:abstractNumId w:val="23"/>
  </w:num>
  <w:num w:numId="24">
    <w:abstractNumId w:val="9"/>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51202"/>
  </w:hdrShapeDefaults>
  <w:footnotePr>
    <w:footnote w:id="-1"/>
    <w:footnote w:id="0"/>
  </w:footnotePr>
  <w:endnotePr>
    <w:endnote w:id="-1"/>
    <w:endnote w:id="0"/>
  </w:endnotePr>
  <w:compat>
    <w:useFELayout/>
  </w:compat>
  <w:rsids>
    <w:rsidRoot w:val="00D3535A"/>
    <w:rsid w:val="00006534"/>
    <w:rsid w:val="000160D2"/>
    <w:rsid w:val="000173D6"/>
    <w:rsid w:val="00020BA5"/>
    <w:rsid w:val="00021ABF"/>
    <w:rsid w:val="0002378B"/>
    <w:rsid w:val="00023B00"/>
    <w:rsid w:val="00032EF7"/>
    <w:rsid w:val="00035F28"/>
    <w:rsid w:val="0003784A"/>
    <w:rsid w:val="00042172"/>
    <w:rsid w:val="00043A82"/>
    <w:rsid w:val="00057465"/>
    <w:rsid w:val="00074592"/>
    <w:rsid w:val="00077AA9"/>
    <w:rsid w:val="00077FA4"/>
    <w:rsid w:val="000816EF"/>
    <w:rsid w:val="000829D6"/>
    <w:rsid w:val="00082EED"/>
    <w:rsid w:val="00085BDA"/>
    <w:rsid w:val="00090550"/>
    <w:rsid w:val="0009099B"/>
    <w:rsid w:val="00096300"/>
    <w:rsid w:val="000A1FDD"/>
    <w:rsid w:val="000A3286"/>
    <w:rsid w:val="000A3E7A"/>
    <w:rsid w:val="000B5C35"/>
    <w:rsid w:val="000C08CB"/>
    <w:rsid w:val="000C2267"/>
    <w:rsid w:val="000C6071"/>
    <w:rsid w:val="000D1ABC"/>
    <w:rsid w:val="000D354F"/>
    <w:rsid w:val="000D736F"/>
    <w:rsid w:val="000E4AFB"/>
    <w:rsid w:val="000F30B6"/>
    <w:rsid w:val="000F3444"/>
    <w:rsid w:val="000F6214"/>
    <w:rsid w:val="00105A8F"/>
    <w:rsid w:val="00106130"/>
    <w:rsid w:val="00106B96"/>
    <w:rsid w:val="001079FC"/>
    <w:rsid w:val="00107F0E"/>
    <w:rsid w:val="00121DB8"/>
    <w:rsid w:val="001227CC"/>
    <w:rsid w:val="00123E9B"/>
    <w:rsid w:val="00131B39"/>
    <w:rsid w:val="00131F65"/>
    <w:rsid w:val="00134447"/>
    <w:rsid w:val="00134A1E"/>
    <w:rsid w:val="0013535B"/>
    <w:rsid w:val="001357AC"/>
    <w:rsid w:val="00135A0F"/>
    <w:rsid w:val="00136554"/>
    <w:rsid w:val="00136F06"/>
    <w:rsid w:val="00141706"/>
    <w:rsid w:val="00142650"/>
    <w:rsid w:val="001610C8"/>
    <w:rsid w:val="001707EF"/>
    <w:rsid w:val="00176A9C"/>
    <w:rsid w:val="00187DC4"/>
    <w:rsid w:val="00190C1C"/>
    <w:rsid w:val="00196818"/>
    <w:rsid w:val="00196C2D"/>
    <w:rsid w:val="001A2100"/>
    <w:rsid w:val="001A4666"/>
    <w:rsid w:val="001A5A7B"/>
    <w:rsid w:val="001A5D3A"/>
    <w:rsid w:val="001B44A6"/>
    <w:rsid w:val="001B6C89"/>
    <w:rsid w:val="001B7E86"/>
    <w:rsid w:val="001C2129"/>
    <w:rsid w:val="001C323E"/>
    <w:rsid w:val="001C646A"/>
    <w:rsid w:val="001D2725"/>
    <w:rsid w:val="001D2EDD"/>
    <w:rsid w:val="001D3BE5"/>
    <w:rsid w:val="001D3C22"/>
    <w:rsid w:val="001D74A7"/>
    <w:rsid w:val="001E252C"/>
    <w:rsid w:val="001E314C"/>
    <w:rsid w:val="001E51A6"/>
    <w:rsid w:val="001E53E3"/>
    <w:rsid w:val="001E5C40"/>
    <w:rsid w:val="001E7F84"/>
    <w:rsid w:val="001F00C8"/>
    <w:rsid w:val="001F125C"/>
    <w:rsid w:val="001F508B"/>
    <w:rsid w:val="001F5E23"/>
    <w:rsid w:val="00204683"/>
    <w:rsid w:val="0022736A"/>
    <w:rsid w:val="002305EC"/>
    <w:rsid w:val="00231B9E"/>
    <w:rsid w:val="00233F96"/>
    <w:rsid w:val="00241DCB"/>
    <w:rsid w:val="00245CC5"/>
    <w:rsid w:val="00255036"/>
    <w:rsid w:val="00263132"/>
    <w:rsid w:val="00265F30"/>
    <w:rsid w:val="00271C7C"/>
    <w:rsid w:val="00272571"/>
    <w:rsid w:val="00283517"/>
    <w:rsid w:val="0029349A"/>
    <w:rsid w:val="00296772"/>
    <w:rsid w:val="00297A19"/>
    <w:rsid w:val="002A41C3"/>
    <w:rsid w:val="002A6109"/>
    <w:rsid w:val="002A7D1F"/>
    <w:rsid w:val="002B059C"/>
    <w:rsid w:val="002C6C91"/>
    <w:rsid w:val="002D1E0E"/>
    <w:rsid w:val="002D4877"/>
    <w:rsid w:val="002D6FBC"/>
    <w:rsid w:val="002D75A3"/>
    <w:rsid w:val="002E6FF6"/>
    <w:rsid w:val="002F3E67"/>
    <w:rsid w:val="003033F1"/>
    <w:rsid w:val="00303634"/>
    <w:rsid w:val="0031092A"/>
    <w:rsid w:val="00315066"/>
    <w:rsid w:val="0031659F"/>
    <w:rsid w:val="00325034"/>
    <w:rsid w:val="00325C6F"/>
    <w:rsid w:val="003326CA"/>
    <w:rsid w:val="00333096"/>
    <w:rsid w:val="00340483"/>
    <w:rsid w:val="00345EA5"/>
    <w:rsid w:val="00360AD8"/>
    <w:rsid w:val="0036739C"/>
    <w:rsid w:val="003700AC"/>
    <w:rsid w:val="00371B62"/>
    <w:rsid w:val="003732D3"/>
    <w:rsid w:val="003749DE"/>
    <w:rsid w:val="003772DD"/>
    <w:rsid w:val="00380DB8"/>
    <w:rsid w:val="003820BA"/>
    <w:rsid w:val="0038749A"/>
    <w:rsid w:val="003941FF"/>
    <w:rsid w:val="00394FAB"/>
    <w:rsid w:val="0039776E"/>
    <w:rsid w:val="003A1EC7"/>
    <w:rsid w:val="003A2617"/>
    <w:rsid w:val="003A5A90"/>
    <w:rsid w:val="003A618A"/>
    <w:rsid w:val="003A741F"/>
    <w:rsid w:val="003A7688"/>
    <w:rsid w:val="003B15E1"/>
    <w:rsid w:val="003B44F2"/>
    <w:rsid w:val="003B6D9D"/>
    <w:rsid w:val="003C05A8"/>
    <w:rsid w:val="003C4546"/>
    <w:rsid w:val="003C75C2"/>
    <w:rsid w:val="003D3307"/>
    <w:rsid w:val="003D51FD"/>
    <w:rsid w:val="003F2B68"/>
    <w:rsid w:val="004019C2"/>
    <w:rsid w:val="00402D9D"/>
    <w:rsid w:val="00405931"/>
    <w:rsid w:val="00405DAF"/>
    <w:rsid w:val="00406CFD"/>
    <w:rsid w:val="0041188A"/>
    <w:rsid w:val="00413F42"/>
    <w:rsid w:val="00417B65"/>
    <w:rsid w:val="00423D2B"/>
    <w:rsid w:val="00434760"/>
    <w:rsid w:val="0044025F"/>
    <w:rsid w:val="00450670"/>
    <w:rsid w:val="00452148"/>
    <w:rsid w:val="00457180"/>
    <w:rsid w:val="004573B9"/>
    <w:rsid w:val="00457765"/>
    <w:rsid w:val="004615B2"/>
    <w:rsid w:val="00463CE1"/>
    <w:rsid w:val="00472A91"/>
    <w:rsid w:val="0047419F"/>
    <w:rsid w:val="00474FDE"/>
    <w:rsid w:val="00477485"/>
    <w:rsid w:val="00477CA5"/>
    <w:rsid w:val="0048315B"/>
    <w:rsid w:val="00487C65"/>
    <w:rsid w:val="00490290"/>
    <w:rsid w:val="004940AC"/>
    <w:rsid w:val="0049446F"/>
    <w:rsid w:val="004962EA"/>
    <w:rsid w:val="004A01AA"/>
    <w:rsid w:val="004A587A"/>
    <w:rsid w:val="004A60A9"/>
    <w:rsid w:val="004B061C"/>
    <w:rsid w:val="004B3180"/>
    <w:rsid w:val="004B3630"/>
    <w:rsid w:val="004C4E13"/>
    <w:rsid w:val="004C689A"/>
    <w:rsid w:val="004D01B7"/>
    <w:rsid w:val="004E3A10"/>
    <w:rsid w:val="004E3D54"/>
    <w:rsid w:val="004E5071"/>
    <w:rsid w:val="004F7A46"/>
    <w:rsid w:val="005012E2"/>
    <w:rsid w:val="0050239C"/>
    <w:rsid w:val="00510C66"/>
    <w:rsid w:val="0051117F"/>
    <w:rsid w:val="0051676B"/>
    <w:rsid w:val="00525DAB"/>
    <w:rsid w:val="00527C30"/>
    <w:rsid w:val="0053648F"/>
    <w:rsid w:val="00545610"/>
    <w:rsid w:val="005466A4"/>
    <w:rsid w:val="00546D43"/>
    <w:rsid w:val="0055276D"/>
    <w:rsid w:val="00561ED7"/>
    <w:rsid w:val="0057072A"/>
    <w:rsid w:val="005716A3"/>
    <w:rsid w:val="00573246"/>
    <w:rsid w:val="00574F2C"/>
    <w:rsid w:val="00580BD4"/>
    <w:rsid w:val="005812EF"/>
    <w:rsid w:val="005812FB"/>
    <w:rsid w:val="00581FDB"/>
    <w:rsid w:val="00582811"/>
    <w:rsid w:val="00590293"/>
    <w:rsid w:val="005912CF"/>
    <w:rsid w:val="00595588"/>
    <w:rsid w:val="005965A5"/>
    <w:rsid w:val="005A42CC"/>
    <w:rsid w:val="005B47C1"/>
    <w:rsid w:val="005B4E91"/>
    <w:rsid w:val="005B63D4"/>
    <w:rsid w:val="005C2694"/>
    <w:rsid w:val="005C2733"/>
    <w:rsid w:val="005C548A"/>
    <w:rsid w:val="005D2DD9"/>
    <w:rsid w:val="005D4ACA"/>
    <w:rsid w:val="005D6E19"/>
    <w:rsid w:val="005E14C6"/>
    <w:rsid w:val="005E37BC"/>
    <w:rsid w:val="005E57C4"/>
    <w:rsid w:val="005E5DF9"/>
    <w:rsid w:val="005F19F0"/>
    <w:rsid w:val="005F4230"/>
    <w:rsid w:val="006031C3"/>
    <w:rsid w:val="00603AB3"/>
    <w:rsid w:val="00605A02"/>
    <w:rsid w:val="00620D99"/>
    <w:rsid w:val="0062704B"/>
    <w:rsid w:val="00632F4B"/>
    <w:rsid w:val="00635663"/>
    <w:rsid w:val="006378D5"/>
    <w:rsid w:val="006430BA"/>
    <w:rsid w:val="006446B9"/>
    <w:rsid w:val="00644DB1"/>
    <w:rsid w:val="00654210"/>
    <w:rsid w:val="00655F4E"/>
    <w:rsid w:val="00660D86"/>
    <w:rsid w:val="00664873"/>
    <w:rsid w:val="006652FE"/>
    <w:rsid w:val="00667F48"/>
    <w:rsid w:val="006744A5"/>
    <w:rsid w:val="00676EAD"/>
    <w:rsid w:val="0067790B"/>
    <w:rsid w:val="00680DD2"/>
    <w:rsid w:val="0068244D"/>
    <w:rsid w:val="00686113"/>
    <w:rsid w:val="0069210C"/>
    <w:rsid w:val="00692F00"/>
    <w:rsid w:val="0069646E"/>
    <w:rsid w:val="00697556"/>
    <w:rsid w:val="006A15C2"/>
    <w:rsid w:val="006C20DD"/>
    <w:rsid w:val="006C54D5"/>
    <w:rsid w:val="006C7113"/>
    <w:rsid w:val="006D19A1"/>
    <w:rsid w:val="006E18B7"/>
    <w:rsid w:val="006E331F"/>
    <w:rsid w:val="006E3CDA"/>
    <w:rsid w:val="006E50D6"/>
    <w:rsid w:val="006E600C"/>
    <w:rsid w:val="006E6837"/>
    <w:rsid w:val="006F2CC0"/>
    <w:rsid w:val="006F3FEB"/>
    <w:rsid w:val="006F491D"/>
    <w:rsid w:val="006F5A63"/>
    <w:rsid w:val="00702FBF"/>
    <w:rsid w:val="007077FF"/>
    <w:rsid w:val="00710EDF"/>
    <w:rsid w:val="00715032"/>
    <w:rsid w:val="00720557"/>
    <w:rsid w:val="007214C1"/>
    <w:rsid w:val="00727126"/>
    <w:rsid w:val="007271AC"/>
    <w:rsid w:val="0072790C"/>
    <w:rsid w:val="00730477"/>
    <w:rsid w:val="00730D5F"/>
    <w:rsid w:val="00731B17"/>
    <w:rsid w:val="00740CE1"/>
    <w:rsid w:val="007422A1"/>
    <w:rsid w:val="00742647"/>
    <w:rsid w:val="00742DD5"/>
    <w:rsid w:val="00763F7D"/>
    <w:rsid w:val="007647D3"/>
    <w:rsid w:val="007660CE"/>
    <w:rsid w:val="00767CE9"/>
    <w:rsid w:val="007706F1"/>
    <w:rsid w:val="00775C4E"/>
    <w:rsid w:val="00781BB8"/>
    <w:rsid w:val="00786740"/>
    <w:rsid w:val="00786829"/>
    <w:rsid w:val="00791EC1"/>
    <w:rsid w:val="00794273"/>
    <w:rsid w:val="00794F15"/>
    <w:rsid w:val="00794F84"/>
    <w:rsid w:val="007959BA"/>
    <w:rsid w:val="0079653F"/>
    <w:rsid w:val="007A16F6"/>
    <w:rsid w:val="007A1725"/>
    <w:rsid w:val="007C789E"/>
    <w:rsid w:val="007E4783"/>
    <w:rsid w:val="007F30E2"/>
    <w:rsid w:val="007F7FF8"/>
    <w:rsid w:val="00813921"/>
    <w:rsid w:val="008154BE"/>
    <w:rsid w:val="00817C30"/>
    <w:rsid w:val="00830D5A"/>
    <w:rsid w:val="0083385F"/>
    <w:rsid w:val="00836600"/>
    <w:rsid w:val="0084382C"/>
    <w:rsid w:val="00844F01"/>
    <w:rsid w:val="008457F9"/>
    <w:rsid w:val="00851450"/>
    <w:rsid w:val="008530C9"/>
    <w:rsid w:val="00857B7E"/>
    <w:rsid w:val="0086353A"/>
    <w:rsid w:val="00863933"/>
    <w:rsid w:val="008667E7"/>
    <w:rsid w:val="00870FD9"/>
    <w:rsid w:val="0087794A"/>
    <w:rsid w:val="00880758"/>
    <w:rsid w:val="00881D05"/>
    <w:rsid w:val="008828B4"/>
    <w:rsid w:val="00885E1F"/>
    <w:rsid w:val="008C36B2"/>
    <w:rsid w:val="008E1D07"/>
    <w:rsid w:val="008E2E9B"/>
    <w:rsid w:val="008E372D"/>
    <w:rsid w:val="008E4C49"/>
    <w:rsid w:val="008E5FD4"/>
    <w:rsid w:val="008F50FD"/>
    <w:rsid w:val="008F715C"/>
    <w:rsid w:val="008F729D"/>
    <w:rsid w:val="008F7F7C"/>
    <w:rsid w:val="00900699"/>
    <w:rsid w:val="0090224F"/>
    <w:rsid w:val="00902370"/>
    <w:rsid w:val="00907AB7"/>
    <w:rsid w:val="00913029"/>
    <w:rsid w:val="009147AD"/>
    <w:rsid w:val="00914BD5"/>
    <w:rsid w:val="00920470"/>
    <w:rsid w:val="009212AC"/>
    <w:rsid w:val="009251D9"/>
    <w:rsid w:val="009313FE"/>
    <w:rsid w:val="00932461"/>
    <w:rsid w:val="009408CF"/>
    <w:rsid w:val="00941DD8"/>
    <w:rsid w:val="0094209A"/>
    <w:rsid w:val="009430EC"/>
    <w:rsid w:val="00952118"/>
    <w:rsid w:val="0095418A"/>
    <w:rsid w:val="00966CCE"/>
    <w:rsid w:val="009828B3"/>
    <w:rsid w:val="009860F4"/>
    <w:rsid w:val="00991EA3"/>
    <w:rsid w:val="009925ED"/>
    <w:rsid w:val="0099773B"/>
    <w:rsid w:val="009A21A3"/>
    <w:rsid w:val="009A324A"/>
    <w:rsid w:val="009A6F2A"/>
    <w:rsid w:val="009B7BB6"/>
    <w:rsid w:val="009C49DD"/>
    <w:rsid w:val="009D0AC3"/>
    <w:rsid w:val="009D36C2"/>
    <w:rsid w:val="009E26B9"/>
    <w:rsid w:val="009E2B57"/>
    <w:rsid w:val="009E6487"/>
    <w:rsid w:val="009F19B3"/>
    <w:rsid w:val="009F4CD5"/>
    <w:rsid w:val="00A008E8"/>
    <w:rsid w:val="00A13155"/>
    <w:rsid w:val="00A13C01"/>
    <w:rsid w:val="00A15886"/>
    <w:rsid w:val="00A174D2"/>
    <w:rsid w:val="00A203F4"/>
    <w:rsid w:val="00A300AD"/>
    <w:rsid w:val="00A32C15"/>
    <w:rsid w:val="00A34165"/>
    <w:rsid w:val="00A40317"/>
    <w:rsid w:val="00A40D31"/>
    <w:rsid w:val="00A42D00"/>
    <w:rsid w:val="00A439E5"/>
    <w:rsid w:val="00A46547"/>
    <w:rsid w:val="00A477CD"/>
    <w:rsid w:val="00A82711"/>
    <w:rsid w:val="00A90CBD"/>
    <w:rsid w:val="00A931C8"/>
    <w:rsid w:val="00A974D2"/>
    <w:rsid w:val="00AA18F1"/>
    <w:rsid w:val="00AA1CB1"/>
    <w:rsid w:val="00AA1CFF"/>
    <w:rsid w:val="00AA3BDF"/>
    <w:rsid w:val="00AB5573"/>
    <w:rsid w:val="00AC2539"/>
    <w:rsid w:val="00AC6DEA"/>
    <w:rsid w:val="00AE1AB8"/>
    <w:rsid w:val="00AE25C9"/>
    <w:rsid w:val="00AF1917"/>
    <w:rsid w:val="00B0090A"/>
    <w:rsid w:val="00B1055C"/>
    <w:rsid w:val="00B1239A"/>
    <w:rsid w:val="00B13B81"/>
    <w:rsid w:val="00B147A2"/>
    <w:rsid w:val="00B172E3"/>
    <w:rsid w:val="00B211CD"/>
    <w:rsid w:val="00B34268"/>
    <w:rsid w:val="00B5415C"/>
    <w:rsid w:val="00B56191"/>
    <w:rsid w:val="00B80A2C"/>
    <w:rsid w:val="00B8766D"/>
    <w:rsid w:val="00B93430"/>
    <w:rsid w:val="00BB1E03"/>
    <w:rsid w:val="00BB2EDD"/>
    <w:rsid w:val="00BC1199"/>
    <w:rsid w:val="00BD2323"/>
    <w:rsid w:val="00BE4F58"/>
    <w:rsid w:val="00BF6A06"/>
    <w:rsid w:val="00BF714A"/>
    <w:rsid w:val="00C0208F"/>
    <w:rsid w:val="00C03AA8"/>
    <w:rsid w:val="00C057F8"/>
    <w:rsid w:val="00C23B08"/>
    <w:rsid w:val="00C23C1E"/>
    <w:rsid w:val="00C33DB6"/>
    <w:rsid w:val="00C35156"/>
    <w:rsid w:val="00C41456"/>
    <w:rsid w:val="00C43E87"/>
    <w:rsid w:val="00C51F4D"/>
    <w:rsid w:val="00C5622A"/>
    <w:rsid w:val="00C64EDB"/>
    <w:rsid w:val="00C72478"/>
    <w:rsid w:val="00C82B90"/>
    <w:rsid w:val="00C83C0A"/>
    <w:rsid w:val="00C94797"/>
    <w:rsid w:val="00CA31A9"/>
    <w:rsid w:val="00CA4717"/>
    <w:rsid w:val="00CB326E"/>
    <w:rsid w:val="00CB410A"/>
    <w:rsid w:val="00CB49A2"/>
    <w:rsid w:val="00CC51A7"/>
    <w:rsid w:val="00CC609E"/>
    <w:rsid w:val="00CC6BE3"/>
    <w:rsid w:val="00CD035B"/>
    <w:rsid w:val="00CD54ED"/>
    <w:rsid w:val="00CE1AA9"/>
    <w:rsid w:val="00CE2F6E"/>
    <w:rsid w:val="00CE4B71"/>
    <w:rsid w:val="00CF0B0C"/>
    <w:rsid w:val="00CF0F37"/>
    <w:rsid w:val="00CF1EEF"/>
    <w:rsid w:val="00CF36E1"/>
    <w:rsid w:val="00CF493A"/>
    <w:rsid w:val="00D0049F"/>
    <w:rsid w:val="00D02C05"/>
    <w:rsid w:val="00D057CD"/>
    <w:rsid w:val="00D06517"/>
    <w:rsid w:val="00D23380"/>
    <w:rsid w:val="00D24B4A"/>
    <w:rsid w:val="00D25A39"/>
    <w:rsid w:val="00D3535A"/>
    <w:rsid w:val="00D3627A"/>
    <w:rsid w:val="00D41620"/>
    <w:rsid w:val="00D4299B"/>
    <w:rsid w:val="00D434A7"/>
    <w:rsid w:val="00D5065D"/>
    <w:rsid w:val="00D514F1"/>
    <w:rsid w:val="00D56C80"/>
    <w:rsid w:val="00D61D23"/>
    <w:rsid w:val="00D63575"/>
    <w:rsid w:val="00D66C70"/>
    <w:rsid w:val="00D70045"/>
    <w:rsid w:val="00D72E4E"/>
    <w:rsid w:val="00D76728"/>
    <w:rsid w:val="00D77F51"/>
    <w:rsid w:val="00D95D9A"/>
    <w:rsid w:val="00DA1C37"/>
    <w:rsid w:val="00DB6694"/>
    <w:rsid w:val="00DC227E"/>
    <w:rsid w:val="00DC27B7"/>
    <w:rsid w:val="00DC7168"/>
    <w:rsid w:val="00DD0DEC"/>
    <w:rsid w:val="00DD454C"/>
    <w:rsid w:val="00DD52EC"/>
    <w:rsid w:val="00DE075B"/>
    <w:rsid w:val="00DE0F8E"/>
    <w:rsid w:val="00DF2015"/>
    <w:rsid w:val="00DF6255"/>
    <w:rsid w:val="00E02052"/>
    <w:rsid w:val="00E0436B"/>
    <w:rsid w:val="00E05333"/>
    <w:rsid w:val="00E1088E"/>
    <w:rsid w:val="00E1287A"/>
    <w:rsid w:val="00E12BF8"/>
    <w:rsid w:val="00E15657"/>
    <w:rsid w:val="00E15D37"/>
    <w:rsid w:val="00E1753F"/>
    <w:rsid w:val="00E21E56"/>
    <w:rsid w:val="00E235B3"/>
    <w:rsid w:val="00E25449"/>
    <w:rsid w:val="00E3439B"/>
    <w:rsid w:val="00E36860"/>
    <w:rsid w:val="00E37FF0"/>
    <w:rsid w:val="00E405BC"/>
    <w:rsid w:val="00E41CBC"/>
    <w:rsid w:val="00E527CA"/>
    <w:rsid w:val="00E6108E"/>
    <w:rsid w:val="00E65318"/>
    <w:rsid w:val="00E71DEC"/>
    <w:rsid w:val="00E72F0B"/>
    <w:rsid w:val="00E807CB"/>
    <w:rsid w:val="00E93E79"/>
    <w:rsid w:val="00EA1D38"/>
    <w:rsid w:val="00EA6AE5"/>
    <w:rsid w:val="00EB6FCA"/>
    <w:rsid w:val="00EC463C"/>
    <w:rsid w:val="00EC7475"/>
    <w:rsid w:val="00ED6295"/>
    <w:rsid w:val="00EE1A88"/>
    <w:rsid w:val="00EF2BAD"/>
    <w:rsid w:val="00F02740"/>
    <w:rsid w:val="00F02992"/>
    <w:rsid w:val="00F047F1"/>
    <w:rsid w:val="00F04F9E"/>
    <w:rsid w:val="00F104D4"/>
    <w:rsid w:val="00F14CAB"/>
    <w:rsid w:val="00F2251B"/>
    <w:rsid w:val="00F24420"/>
    <w:rsid w:val="00F25684"/>
    <w:rsid w:val="00F308BA"/>
    <w:rsid w:val="00F323CB"/>
    <w:rsid w:val="00F3478F"/>
    <w:rsid w:val="00F3727D"/>
    <w:rsid w:val="00F4445A"/>
    <w:rsid w:val="00F44CC5"/>
    <w:rsid w:val="00F476F0"/>
    <w:rsid w:val="00F526EB"/>
    <w:rsid w:val="00F52E8E"/>
    <w:rsid w:val="00F56500"/>
    <w:rsid w:val="00F6305A"/>
    <w:rsid w:val="00F657F2"/>
    <w:rsid w:val="00F71A5C"/>
    <w:rsid w:val="00F73A16"/>
    <w:rsid w:val="00F742FA"/>
    <w:rsid w:val="00F864C5"/>
    <w:rsid w:val="00F926CE"/>
    <w:rsid w:val="00F93503"/>
    <w:rsid w:val="00F9449B"/>
    <w:rsid w:val="00F9637D"/>
    <w:rsid w:val="00FA0850"/>
    <w:rsid w:val="00FA2333"/>
    <w:rsid w:val="00FA2F2C"/>
    <w:rsid w:val="00FB1678"/>
    <w:rsid w:val="00FC7D73"/>
    <w:rsid w:val="00FD2FF3"/>
    <w:rsid w:val="00FD3A3D"/>
    <w:rsid w:val="00FD5DAA"/>
    <w:rsid w:val="00FD743A"/>
    <w:rsid w:val="00FE09C2"/>
    <w:rsid w:val="00FF0927"/>
    <w:rsid w:val="00FF3129"/>
    <w:rsid w:val="00FF413C"/>
    <w:rsid w:val="00FF7E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C1"/>
  </w:style>
  <w:style w:type="paragraph" w:styleId="Heading2">
    <w:name w:val="heading 2"/>
    <w:basedOn w:val="Normal"/>
    <w:next w:val="Normal"/>
    <w:link w:val="Heading2Char"/>
    <w:uiPriority w:val="9"/>
    <w:unhideWhenUsed/>
    <w:qFormat/>
    <w:rsid w:val="00C23B08"/>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360AD8"/>
    <w:pPr>
      <w:keepNext/>
      <w:bidi/>
      <w:spacing w:after="0" w:line="240" w:lineRule="auto"/>
      <w:jc w:val="right"/>
      <w:outlineLvl w:val="8"/>
    </w:pPr>
    <w:rPr>
      <w:rFonts w:ascii="Times New Roman" w:eastAsia="Times New Roman" w:hAnsi="Times New Roman" w:cs="Simplified Arabic"/>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8766D"/>
    <w:pPr>
      <w:bidi/>
      <w:spacing w:after="0" w:line="240" w:lineRule="auto"/>
      <w:jc w:val="lowKashida"/>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B8766D"/>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
    <w:rsid w:val="00C23B08"/>
    <w:rPr>
      <w:rFonts w:asciiTheme="majorHAnsi" w:eastAsiaTheme="majorEastAsia" w:hAnsiTheme="majorHAnsi" w:cstheme="majorBidi"/>
      <w:b/>
      <w:bCs/>
      <w:color w:val="4F81BD" w:themeColor="accent1"/>
      <w:sz w:val="26"/>
      <w:szCs w:val="26"/>
    </w:rPr>
  </w:style>
  <w:style w:type="character" w:customStyle="1" w:styleId="hps">
    <w:name w:val="hps"/>
    <w:basedOn w:val="DefaultParagraphFont"/>
    <w:rsid w:val="00C23B08"/>
  </w:style>
  <w:style w:type="character" w:customStyle="1" w:styleId="shorttext">
    <w:name w:val="short_text"/>
    <w:basedOn w:val="DefaultParagraphFont"/>
    <w:rsid w:val="00C23B08"/>
  </w:style>
  <w:style w:type="paragraph" w:styleId="ListParagraph">
    <w:name w:val="List Paragraph"/>
    <w:basedOn w:val="Normal"/>
    <w:uiPriority w:val="34"/>
    <w:qFormat/>
    <w:rsid w:val="00C23B08"/>
    <w:pPr>
      <w:bidi/>
      <w:ind w:left="720"/>
      <w:contextualSpacing/>
    </w:pPr>
  </w:style>
  <w:style w:type="paragraph" w:styleId="Header">
    <w:name w:val="header"/>
    <w:basedOn w:val="Normal"/>
    <w:link w:val="HeaderChar"/>
    <w:uiPriority w:val="99"/>
    <w:unhideWhenUsed/>
    <w:rsid w:val="00105A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5A8F"/>
  </w:style>
  <w:style w:type="paragraph" w:styleId="Footer">
    <w:name w:val="footer"/>
    <w:basedOn w:val="Normal"/>
    <w:link w:val="FooterChar"/>
    <w:uiPriority w:val="99"/>
    <w:unhideWhenUsed/>
    <w:rsid w:val="00105A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105A8F"/>
  </w:style>
  <w:style w:type="character" w:styleId="Hyperlink">
    <w:name w:val="Hyperlink"/>
    <w:basedOn w:val="DefaultParagraphFont"/>
    <w:uiPriority w:val="99"/>
    <w:unhideWhenUsed/>
    <w:rsid w:val="00105A8F"/>
    <w:rPr>
      <w:color w:val="0000FF" w:themeColor="hyperlink"/>
      <w:u w:val="single"/>
    </w:rPr>
  </w:style>
  <w:style w:type="paragraph" w:styleId="NoSpacing">
    <w:name w:val="No Spacing"/>
    <w:link w:val="NoSpacingChar"/>
    <w:uiPriority w:val="1"/>
    <w:qFormat/>
    <w:rsid w:val="00105A8F"/>
    <w:pPr>
      <w:spacing w:after="0" w:line="240" w:lineRule="auto"/>
    </w:pPr>
  </w:style>
  <w:style w:type="character" w:customStyle="1" w:styleId="NoSpacingChar">
    <w:name w:val="No Spacing Char"/>
    <w:basedOn w:val="DefaultParagraphFont"/>
    <w:link w:val="NoSpacing"/>
    <w:uiPriority w:val="1"/>
    <w:rsid w:val="00105A8F"/>
    <w:rPr>
      <w:rFonts w:eastAsiaTheme="minorEastAsia"/>
    </w:rPr>
  </w:style>
  <w:style w:type="paragraph" w:styleId="NormalWeb">
    <w:name w:val="Normal (Web)"/>
    <w:basedOn w:val="Normal"/>
    <w:uiPriority w:val="99"/>
    <w:semiHidden/>
    <w:unhideWhenUsed/>
    <w:rsid w:val="005E14C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01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3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A10"/>
    <w:rPr>
      <w:rFonts w:ascii="Tahoma" w:hAnsi="Tahoma" w:cs="Tahoma"/>
      <w:sz w:val="16"/>
      <w:szCs w:val="16"/>
    </w:rPr>
  </w:style>
  <w:style w:type="character" w:customStyle="1" w:styleId="tlid-translation">
    <w:name w:val="tlid-translation"/>
    <w:basedOn w:val="DefaultParagraphFont"/>
    <w:rsid w:val="00E12BF8"/>
  </w:style>
  <w:style w:type="character" w:customStyle="1" w:styleId="Heading9Char">
    <w:name w:val="Heading 9 Char"/>
    <w:basedOn w:val="DefaultParagraphFont"/>
    <w:link w:val="Heading9"/>
    <w:rsid w:val="00360AD8"/>
    <w:rPr>
      <w:rFonts w:ascii="Times New Roman" w:eastAsia="Times New Roman" w:hAnsi="Times New Roman" w:cs="Simplified Arabic"/>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23B08"/>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8766D"/>
    <w:pPr>
      <w:bidi/>
      <w:spacing w:after="0" w:line="240" w:lineRule="auto"/>
      <w:jc w:val="lowKashida"/>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B8766D"/>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
    <w:rsid w:val="00C23B08"/>
    <w:rPr>
      <w:rFonts w:asciiTheme="majorHAnsi" w:eastAsiaTheme="majorEastAsia" w:hAnsiTheme="majorHAnsi" w:cstheme="majorBidi"/>
      <w:b/>
      <w:bCs/>
      <w:color w:val="4F81BD" w:themeColor="accent1"/>
      <w:sz w:val="26"/>
      <w:szCs w:val="26"/>
    </w:rPr>
  </w:style>
  <w:style w:type="character" w:customStyle="1" w:styleId="hps">
    <w:name w:val="hps"/>
    <w:basedOn w:val="DefaultParagraphFont"/>
    <w:rsid w:val="00C23B08"/>
  </w:style>
  <w:style w:type="character" w:customStyle="1" w:styleId="shorttext">
    <w:name w:val="short_text"/>
    <w:basedOn w:val="DefaultParagraphFont"/>
    <w:rsid w:val="00C23B08"/>
  </w:style>
  <w:style w:type="paragraph" w:styleId="ListParagraph">
    <w:name w:val="List Paragraph"/>
    <w:basedOn w:val="Normal"/>
    <w:uiPriority w:val="34"/>
    <w:qFormat/>
    <w:rsid w:val="00C23B08"/>
    <w:pPr>
      <w:bidi/>
      <w:ind w:left="720"/>
      <w:contextualSpacing/>
    </w:pPr>
  </w:style>
  <w:style w:type="paragraph" w:styleId="Header">
    <w:name w:val="header"/>
    <w:basedOn w:val="Normal"/>
    <w:link w:val="HeaderChar"/>
    <w:uiPriority w:val="99"/>
    <w:unhideWhenUsed/>
    <w:rsid w:val="00105A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5A8F"/>
  </w:style>
  <w:style w:type="paragraph" w:styleId="Footer">
    <w:name w:val="footer"/>
    <w:basedOn w:val="Normal"/>
    <w:link w:val="FooterChar"/>
    <w:uiPriority w:val="99"/>
    <w:unhideWhenUsed/>
    <w:rsid w:val="00105A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105A8F"/>
  </w:style>
  <w:style w:type="character" w:styleId="Hyperlink">
    <w:name w:val="Hyperlink"/>
    <w:basedOn w:val="DefaultParagraphFont"/>
    <w:uiPriority w:val="99"/>
    <w:unhideWhenUsed/>
    <w:rsid w:val="00105A8F"/>
    <w:rPr>
      <w:color w:val="0000FF" w:themeColor="hyperlink"/>
      <w:u w:val="single"/>
    </w:rPr>
  </w:style>
  <w:style w:type="paragraph" w:styleId="NoSpacing">
    <w:name w:val="No Spacing"/>
    <w:link w:val="NoSpacingChar"/>
    <w:uiPriority w:val="1"/>
    <w:qFormat/>
    <w:rsid w:val="00105A8F"/>
    <w:pPr>
      <w:spacing w:after="0" w:line="240" w:lineRule="auto"/>
    </w:pPr>
  </w:style>
  <w:style w:type="character" w:customStyle="1" w:styleId="NoSpacingChar">
    <w:name w:val="No Spacing Char"/>
    <w:basedOn w:val="DefaultParagraphFont"/>
    <w:link w:val="NoSpacing"/>
    <w:uiPriority w:val="1"/>
    <w:rsid w:val="00105A8F"/>
    <w:rPr>
      <w:rFonts w:eastAsiaTheme="minorEastAsia"/>
    </w:rPr>
  </w:style>
  <w:style w:type="paragraph" w:styleId="NormalWeb">
    <w:name w:val="Normal (Web)"/>
    <w:basedOn w:val="Normal"/>
    <w:uiPriority w:val="99"/>
    <w:semiHidden/>
    <w:unhideWhenUsed/>
    <w:rsid w:val="005E14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48808">
      <w:bodyDiv w:val="1"/>
      <w:marLeft w:val="0"/>
      <w:marRight w:val="0"/>
      <w:marTop w:val="0"/>
      <w:marBottom w:val="0"/>
      <w:divBdr>
        <w:top w:val="none" w:sz="0" w:space="0" w:color="auto"/>
        <w:left w:val="none" w:sz="0" w:space="0" w:color="auto"/>
        <w:bottom w:val="none" w:sz="0" w:space="0" w:color="auto"/>
        <w:right w:val="none" w:sz="0" w:space="0" w:color="auto"/>
      </w:divBdr>
    </w:div>
    <w:div w:id="16009796">
      <w:bodyDiv w:val="1"/>
      <w:marLeft w:val="0"/>
      <w:marRight w:val="0"/>
      <w:marTop w:val="0"/>
      <w:marBottom w:val="0"/>
      <w:divBdr>
        <w:top w:val="none" w:sz="0" w:space="0" w:color="auto"/>
        <w:left w:val="none" w:sz="0" w:space="0" w:color="auto"/>
        <w:bottom w:val="none" w:sz="0" w:space="0" w:color="auto"/>
        <w:right w:val="none" w:sz="0" w:space="0" w:color="auto"/>
      </w:divBdr>
    </w:div>
    <w:div w:id="25180018">
      <w:bodyDiv w:val="1"/>
      <w:marLeft w:val="0"/>
      <w:marRight w:val="0"/>
      <w:marTop w:val="0"/>
      <w:marBottom w:val="0"/>
      <w:divBdr>
        <w:top w:val="none" w:sz="0" w:space="0" w:color="auto"/>
        <w:left w:val="none" w:sz="0" w:space="0" w:color="auto"/>
        <w:bottom w:val="none" w:sz="0" w:space="0" w:color="auto"/>
        <w:right w:val="none" w:sz="0" w:space="0" w:color="auto"/>
      </w:divBdr>
      <w:divsChild>
        <w:div w:id="1069572303">
          <w:marLeft w:val="288"/>
          <w:marRight w:val="0"/>
          <w:marTop w:val="0"/>
          <w:marBottom w:val="0"/>
          <w:divBdr>
            <w:top w:val="none" w:sz="0" w:space="0" w:color="auto"/>
            <w:left w:val="none" w:sz="0" w:space="0" w:color="auto"/>
            <w:bottom w:val="none" w:sz="0" w:space="0" w:color="auto"/>
            <w:right w:val="none" w:sz="0" w:space="0" w:color="auto"/>
          </w:divBdr>
        </w:div>
      </w:divsChild>
    </w:div>
    <w:div w:id="150947313">
      <w:bodyDiv w:val="1"/>
      <w:marLeft w:val="0"/>
      <w:marRight w:val="0"/>
      <w:marTop w:val="0"/>
      <w:marBottom w:val="0"/>
      <w:divBdr>
        <w:top w:val="none" w:sz="0" w:space="0" w:color="auto"/>
        <w:left w:val="none" w:sz="0" w:space="0" w:color="auto"/>
        <w:bottom w:val="none" w:sz="0" w:space="0" w:color="auto"/>
        <w:right w:val="none" w:sz="0" w:space="0" w:color="auto"/>
      </w:divBdr>
    </w:div>
    <w:div w:id="189879228">
      <w:bodyDiv w:val="1"/>
      <w:marLeft w:val="0"/>
      <w:marRight w:val="0"/>
      <w:marTop w:val="0"/>
      <w:marBottom w:val="0"/>
      <w:divBdr>
        <w:top w:val="none" w:sz="0" w:space="0" w:color="auto"/>
        <w:left w:val="none" w:sz="0" w:space="0" w:color="auto"/>
        <w:bottom w:val="none" w:sz="0" w:space="0" w:color="auto"/>
        <w:right w:val="none" w:sz="0" w:space="0" w:color="auto"/>
      </w:divBdr>
    </w:div>
    <w:div w:id="221209734">
      <w:bodyDiv w:val="1"/>
      <w:marLeft w:val="0"/>
      <w:marRight w:val="0"/>
      <w:marTop w:val="0"/>
      <w:marBottom w:val="0"/>
      <w:divBdr>
        <w:top w:val="none" w:sz="0" w:space="0" w:color="auto"/>
        <w:left w:val="none" w:sz="0" w:space="0" w:color="auto"/>
        <w:bottom w:val="none" w:sz="0" w:space="0" w:color="auto"/>
        <w:right w:val="none" w:sz="0" w:space="0" w:color="auto"/>
      </w:divBdr>
    </w:div>
    <w:div w:id="221404261">
      <w:bodyDiv w:val="1"/>
      <w:marLeft w:val="0"/>
      <w:marRight w:val="0"/>
      <w:marTop w:val="0"/>
      <w:marBottom w:val="0"/>
      <w:divBdr>
        <w:top w:val="none" w:sz="0" w:space="0" w:color="auto"/>
        <w:left w:val="none" w:sz="0" w:space="0" w:color="auto"/>
        <w:bottom w:val="none" w:sz="0" w:space="0" w:color="auto"/>
        <w:right w:val="none" w:sz="0" w:space="0" w:color="auto"/>
      </w:divBdr>
    </w:div>
    <w:div w:id="364403718">
      <w:bodyDiv w:val="1"/>
      <w:marLeft w:val="0"/>
      <w:marRight w:val="0"/>
      <w:marTop w:val="0"/>
      <w:marBottom w:val="0"/>
      <w:divBdr>
        <w:top w:val="none" w:sz="0" w:space="0" w:color="auto"/>
        <w:left w:val="none" w:sz="0" w:space="0" w:color="auto"/>
        <w:bottom w:val="none" w:sz="0" w:space="0" w:color="auto"/>
        <w:right w:val="none" w:sz="0" w:space="0" w:color="auto"/>
      </w:divBdr>
    </w:div>
    <w:div w:id="444809386">
      <w:bodyDiv w:val="1"/>
      <w:marLeft w:val="0"/>
      <w:marRight w:val="0"/>
      <w:marTop w:val="0"/>
      <w:marBottom w:val="0"/>
      <w:divBdr>
        <w:top w:val="none" w:sz="0" w:space="0" w:color="auto"/>
        <w:left w:val="none" w:sz="0" w:space="0" w:color="auto"/>
        <w:bottom w:val="none" w:sz="0" w:space="0" w:color="auto"/>
        <w:right w:val="none" w:sz="0" w:space="0" w:color="auto"/>
      </w:divBdr>
    </w:div>
    <w:div w:id="466093998">
      <w:bodyDiv w:val="1"/>
      <w:marLeft w:val="0"/>
      <w:marRight w:val="0"/>
      <w:marTop w:val="0"/>
      <w:marBottom w:val="0"/>
      <w:divBdr>
        <w:top w:val="none" w:sz="0" w:space="0" w:color="auto"/>
        <w:left w:val="none" w:sz="0" w:space="0" w:color="auto"/>
        <w:bottom w:val="none" w:sz="0" w:space="0" w:color="auto"/>
        <w:right w:val="none" w:sz="0" w:space="0" w:color="auto"/>
      </w:divBdr>
    </w:div>
    <w:div w:id="569267965">
      <w:bodyDiv w:val="1"/>
      <w:marLeft w:val="0"/>
      <w:marRight w:val="0"/>
      <w:marTop w:val="0"/>
      <w:marBottom w:val="0"/>
      <w:divBdr>
        <w:top w:val="none" w:sz="0" w:space="0" w:color="auto"/>
        <w:left w:val="none" w:sz="0" w:space="0" w:color="auto"/>
        <w:bottom w:val="none" w:sz="0" w:space="0" w:color="auto"/>
        <w:right w:val="none" w:sz="0" w:space="0" w:color="auto"/>
      </w:divBdr>
    </w:div>
    <w:div w:id="677855801">
      <w:bodyDiv w:val="1"/>
      <w:marLeft w:val="0"/>
      <w:marRight w:val="0"/>
      <w:marTop w:val="0"/>
      <w:marBottom w:val="0"/>
      <w:divBdr>
        <w:top w:val="none" w:sz="0" w:space="0" w:color="auto"/>
        <w:left w:val="none" w:sz="0" w:space="0" w:color="auto"/>
        <w:bottom w:val="none" w:sz="0" w:space="0" w:color="auto"/>
        <w:right w:val="none" w:sz="0" w:space="0" w:color="auto"/>
      </w:divBdr>
      <w:divsChild>
        <w:div w:id="1040664400">
          <w:marLeft w:val="547"/>
          <w:marRight w:val="0"/>
          <w:marTop w:val="115"/>
          <w:marBottom w:val="0"/>
          <w:divBdr>
            <w:top w:val="none" w:sz="0" w:space="0" w:color="auto"/>
            <w:left w:val="none" w:sz="0" w:space="0" w:color="auto"/>
            <w:bottom w:val="none" w:sz="0" w:space="0" w:color="auto"/>
            <w:right w:val="none" w:sz="0" w:space="0" w:color="auto"/>
          </w:divBdr>
        </w:div>
        <w:div w:id="1343891717">
          <w:marLeft w:val="547"/>
          <w:marRight w:val="0"/>
          <w:marTop w:val="115"/>
          <w:marBottom w:val="0"/>
          <w:divBdr>
            <w:top w:val="none" w:sz="0" w:space="0" w:color="auto"/>
            <w:left w:val="none" w:sz="0" w:space="0" w:color="auto"/>
            <w:bottom w:val="none" w:sz="0" w:space="0" w:color="auto"/>
            <w:right w:val="none" w:sz="0" w:space="0" w:color="auto"/>
          </w:divBdr>
        </w:div>
      </w:divsChild>
    </w:div>
    <w:div w:id="708535585">
      <w:bodyDiv w:val="1"/>
      <w:marLeft w:val="0"/>
      <w:marRight w:val="0"/>
      <w:marTop w:val="0"/>
      <w:marBottom w:val="0"/>
      <w:divBdr>
        <w:top w:val="none" w:sz="0" w:space="0" w:color="auto"/>
        <w:left w:val="none" w:sz="0" w:space="0" w:color="auto"/>
        <w:bottom w:val="none" w:sz="0" w:space="0" w:color="auto"/>
        <w:right w:val="none" w:sz="0" w:space="0" w:color="auto"/>
      </w:divBdr>
    </w:div>
    <w:div w:id="762258801">
      <w:bodyDiv w:val="1"/>
      <w:marLeft w:val="0"/>
      <w:marRight w:val="0"/>
      <w:marTop w:val="0"/>
      <w:marBottom w:val="0"/>
      <w:divBdr>
        <w:top w:val="none" w:sz="0" w:space="0" w:color="auto"/>
        <w:left w:val="none" w:sz="0" w:space="0" w:color="auto"/>
        <w:bottom w:val="none" w:sz="0" w:space="0" w:color="auto"/>
        <w:right w:val="none" w:sz="0" w:space="0" w:color="auto"/>
      </w:divBdr>
    </w:div>
    <w:div w:id="865101269">
      <w:bodyDiv w:val="1"/>
      <w:marLeft w:val="0"/>
      <w:marRight w:val="0"/>
      <w:marTop w:val="0"/>
      <w:marBottom w:val="0"/>
      <w:divBdr>
        <w:top w:val="none" w:sz="0" w:space="0" w:color="auto"/>
        <w:left w:val="none" w:sz="0" w:space="0" w:color="auto"/>
        <w:bottom w:val="none" w:sz="0" w:space="0" w:color="auto"/>
        <w:right w:val="none" w:sz="0" w:space="0" w:color="auto"/>
      </w:divBdr>
    </w:div>
    <w:div w:id="940575696">
      <w:bodyDiv w:val="1"/>
      <w:marLeft w:val="0"/>
      <w:marRight w:val="0"/>
      <w:marTop w:val="0"/>
      <w:marBottom w:val="0"/>
      <w:divBdr>
        <w:top w:val="none" w:sz="0" w:space="0" w:color="auto"/>
        <w:left w:val="none" w:sz="0" w:space="0" w:color="auto"/>
        <w:bottom w:val="none" w:sz="0" w:space="0" w:color="auto"/>
        <w:right w:val="none" w:sz="0" w:space="0" w:color="auto"/>
      </w:divBdr>
    </w:div>
    <w:div w:id="960767360">
      <w:bodyDiv w:val="1"/>
      <w:marLeft w:val="0"/>
      <w:marRight w:val="0"/>
      <w:marTop w:val="0"/>
      <w:marBottom w:val="0"/>
      <w:divBdr>
        <w:top w:val="none" w:sz="0" w:space="0" w:color="auto"/>
        <w:left w:val="none" w:sz="0" w:space="0" w:color="auto"/>
        <w:bottom w:val="none" w:sz="0" w:space="0" w:color="auto"/>
        <w:right w:val="none" w:sz="0" w:space="0" w:color="auto"/>
      </w:divBdr>
    </w:div>
    <w:div w:id="1067453758">
      <w:bodyDiv w:val="1"/>
      <w:marLeft w:val="0"/>
      <w:marRight w:val="0"/>
      <w:marTop w:val="0"/>
      <w:marBottom w:val="0"/>
      <w:divBdr>
        <w:top w:val="none" w:sz="0" w:space="0" w:color="auto"/>
        <w:left w:val="none" w:sz="0" w:space="0" w:color="auto"/>
        <w:bottom w:val="none" w:sz="0" w:space="0" w:color="auto"/>
        <w:right w:val="none" w:sz="0" w:space="0" w:color="auto"/>
      </w:divBdr>
    </w:div>
    <w:div w:id="1216812943">
      <w:bodyDiv w:val="1"/>
      <w:marLeft w:val="0"/>
      <w:marRight w:val="0"/>
      <w:marTop w:val="0"/>
      <w:marBottom w:val="0"/>
      <w:divBdr>
        <w:top w:val="none" w:sz="0" w:space="0" w:color="auto"/>
        <w:left w:val="none" w:sz="0" w:space="0" w:color="auto"/>
        <w:bottom w:val="none" w:sz="0" w:space="0" w:color="auto"/>
        <w:right w:val="none" w:sz="0" w:space="0" w:color="auto"/>
      </w:divBdr>
    </w:div>
    <w:div w:id="1221669554">
      <w:bodyDiv w:val="1"/>
      <w:marLeft w:val="0"/>
      <w:marRight w:val="0"/>
      <w:marTop w:val="0"/>
      <w:marBottom w:val="0"/>
      <w:divBdr>
        <w:top w:val="none" w:sz="0" w:space="0" w:color="auto"/>
        <w:left w:val="none" w:sz="0" w:space="0" w:color="auto"/>
        <w:bottom w:val="none" w:sz="0" w:space="0" w:color="auto"/>
        <w:right w:val="none" w:sz="0" w:space="0" w:color="auto"/>
      </w:divBdr>
    </w:div>
    <w:div w:id="1285498683">
      <w:bodyDiv w:val="1"/>
      <w:marLeft w:val="0"/>
      <w:marRight w:val="0"/>
      <w:marTop w:val="0"/>
      <w:marBottom w:val="0"/>
      <w:divBdr>
        <w:top w:val="none" w:sz="0" w:space="0" w:color="auto"/>
        <w:left w:val="none" w:sz="0" w:space="0" w:color="auto"/>
        <w:bottom w:val="none" w:sz="0" w:space="0" w:color="auto"/>
        <w:right w:val="none" w:sz="0" w:space="0" w:color="auto"/>
      </w:divBdr>
    </w:div>
    <w:div w:id="1296524426">
      <w:bodyDiv w:val="1"/>
      <w:marLeft w:val="0"/>
      <w:marRight w:val="0"/>
      <w:marTop w:val="0"/>
      <w:marBottom w:val="0"/>
      <w:divBdr>
        <w:top w:val="none" w:sz="0" w:space="0" w:color="auto"/>
        <w:left w:val="none" w:sz="0" w:space="0" w:color="auto"/>
        <w:bottom w:val="none" w:sz="0" w:space="0" w:color="auto"/>
        <w:right w:val="none" w:sz="0" w:space="0" w:color="auto"/>
      </w:divBdr>
    </w:div>
    <w:div w:id="1351296164">
      <w:bodyDiv w:val="1"/>
      <w:marLeft w:val="0"/>
      <w:marRight w:val="0"/>
      <w:marTop w:val="0"/>
      <w:marBottom w:val="0"/>
      <w:divBdr>
        <w:top w:val="none" w:sz="0" w:space="0" w:color="auto"/>
        <w:left w:val="none" w:sz="0" w:space="0" w:color="auto"/>
        <w:bottom w:val="none" w:sz="0" w:space="0" w:color="auto"/>
        <w:right w:val="none" w:sz="0" w:space="0" w:color="auto"/>
      </w:divBdr>
    </w:div>
    <w:div w:id="1354185522">
      <w:bodyDiv w:val="1"/>
      <w:marLeft w:val="0"/>
      <w:marRight w:val="0"/>
      <w:marTop w:val="0"/>
      <w:marBottom w:val="0"/>
      <w:divBdr>
        <w:top w:val="none" w:sz="0" w:space="0" w:color="auto"/>
        <w:left w:val="none" w:sz="0" w:space="0" w:color="auto"/>
        <w:bottom w:val="none" w:sz="0" w:space="0" w:color="auto"/>
        <w:right w:val="none" w:sz="0" w:space="0" w:color="auto"/>
      </w:divBdr>
    </w:div>
    <w:div w:id="1383095919">
      <w:bodyDiv w:val="1"/>
      <w:marLeft w:val="0"/>
      <w:marRight w:val="0"/>
      <w:marTop w:val="0"/>
      <w:marBottom w:val="0"/>
      <w:divBdr>
        <w:top w:val="none" w:sz="0" w:space="0" w:color="auto"/>
        <w:left w:val="none" w:sz="0" w:space="0" w:color="auto"/>
        <w:bottom w:val="none" w:sz="0" w:space="0" w:color="auto"/>
        <w:right w:val="none" w:sz="0" w:space="0" w:color="auto"/>
      </w:divBdr>
    </w:div>
    <w:div w:id="1410153493">
      <w:bodyDiv w:val="1"/>
      <w:marLeft w:val="0"/>
      <w:marRight w:val="0"/>
      <w:marTop w:val="0"/>
      <w:marBottom w:val="0"/>
      <w:divBdr>
        <w:top w:val="none" w:sz="0" w:space="0" w:color="auto"/>
        <w:left w:val="none" w:sz="0" w:space="0" w:color="auto"/>
        <w:bottom w:val="none" w:sz="0" w:space="0" w:color="auto"/>
        <w:right w:val="none" w:sz="0" w:space="0" w:color="auto"/>
      </w:divBdr>
      <w:divsChild>
        <w:div w:id="878009162">
          <w:marLeft w:val="547"/>
          <w:marRight w:val="0"/>
          <w:marTop w:val="0"/>
          <w:marBottom w:val="0"/>
          <w:divBdr>
            <w:top w:val="none" w:sz="0" w:space="0" w:color="auto"/>
            <w:left w:val="none" w:sz="0" w:space="0" w:color="auto"/>
            <w:bottom w:val="none" w:sz="0" w:space="0" w:color="auto"/>
            <w:right w:val="none" w:sz="0" w:space="0" w:color="auto"/>
          </w:divBdr>
        </w:div>
      </w:divsChild>
    </w:div>
    <w:div w:id="1569799180">
      <w:bodyDiv w:val="1"/>
      <w:marLeft w:val="0"/>
      <w:marRight w:val="0"/>
      <w:marTop w:val="0"/>
      <w:marBottom w:val="0"/>
      <w:divBdr>
        <w:top w:val="none" w:sz="0" w:space="0" w:color="auto"/>
        <w:left w:val="none" w:sz="0" w:space="0" w:color="auto"/>
        <w:bottom w:val="none" w:sz="0" w:space="0" w:color="auto"/>
        <w:right w:val="none" w:sz="0" w:space="0" w:color="auto"/>
      </w:divBdr>
    </w:div>
    <w:div w:id="1641110660">
      <w:bodyDiv w:val="1"/>
      <w:marLeft w:val="0"/>
      <w:marRight w:val="0"/>
      <w:marTop w:val="0"/>
      <w:marBottom w:val="0"/>
      <w:divBdr>
        <w:top w:val="none" w:sz="0" w:space="0" w:color="auto"/>
        <w:left w:val="none" w:sz="0" w:space="0" w:color="auto"/>
        <w:bottom w:val="none" w:sz="0" w:space="0" w:color="auto"/>
        <w:right w:val="none" w:sz="0" w:space="0" w:color="auto"/>
      </w:divBdr>
    </w:div>
    <w:div w:id="1691489290">
      <w:bodyDiv w:val="1"/>
      <w:marLeft w:val="0"/>
      <w:marRight w:val="0"/>
      <w:marTop w:val="0"/>
      <w:marBottom w:val="0"/>
      <w:divBdr>
        <w:top w:val="none" w:sz="0" w:space="0" w:color="auto"/>
        <w:left w:val="none" w:sz="0" w:space="0" w:color="auto"/>
        <w:bottom w:val="none" w:sz="0" w:space="0" w:color="auto"/>
        <w:right w:val="none" w:sz="0" w:space="0" w:color="auto"/>
      </w:divBdr>
    </w:div>
    <w:div w:id="1992169839">
      <w:bodyDiv w:val="1"/>
      <w:marLeft w:val="0"/>
      <w:marRight w:val="0"/>
      <w:marTop w:val="0"/>
      <w:marBottom w:val="0"/>
      <w:divBdr>
        <w:top w:val="none" w:sz="0" w:space="0" w:color="auto"/>
        <w:left w:val="none" w:sz="0" w:space="0" w:color="auto"/>
        <w:bottom w:val="none" w:sz="0" w:space="0" w:color="auto"/>
        <w:right w:val="none" w:sz="0" w:space="0" w:color="auto"/>
      </w:divBdr>
    </w:div>
    <w:div w:id="2089231419">
      <w:bodyDiv w:val="1"/>
      <w:marLeft w:val="0"/>
      <w:marRight w:val="0"/>
      <w:marTop w:val="0"/>
      <w:marBottom w:val="0"/>
      <w:divBdr>
        <w:top w:val="none" w:sz="0" w:space="0" w:color="auto"/>
        <w:left w:val="none" w:sz="0" w:space="0" w:color="auto"/>
        <w:bottom w:val="none" w:sz="0" w:space="0" w:color="auto"/>
        <w:right w:val="none" w:sz="0" w:space="0" w:color="auto"/>
      </w:divBdr>
      <w:divsChild>
        <w:div w:id="1613048718">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bi@pcbs.gov.p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barChart>
        <c:barDir val="col"/>
        <c:grouping val="clustered"/>
        <c:ser>
          <c:idx val="0"/>
          <c:order val="0"/>
          <c:tx>
            <c:strRef>
              <c:f>Sheet1!$B$1</c:f>
              <c:strCache>
                <c:ptCount val="1"/>
                <c:pt idx="0">
                  <c:v>Import </c:v>
                </c:pt>
              </c:strCache>
            </c:strRef>
          </c:tx>
          <c:dLbls>
            <c:dLbl>
              <c:idx val="0"/>
              <c:layout>
                <c:manualLayout>
                  <c:x val="3.0555202579248762E-17"/>
                  <c:y val="0.26666666666666738"/>
                </c:manualLayout>
              </c:layout>
              <c:spPr/>
              <c:txPr>
                <a:bodyPr/>
                <a:lstStyle/>
                <a:p>
                  <a:pPr>
                    <a:defRPr b="1">
                      <a:cs typeface="+mn-cs"/>
                    </a:defRPr>
                  </a:pPr>
                  <a:endParaRPr lang="ar-SA"/>
                </a:p>
              </c:txPr>
              <c:showVal val="1"/>
            </c:dLbl>
            <c:showVal val="1"/>
          </c:dLbls>
          <c:cat>
            <c:numRef>
              <c:f>Sheet1!$A$2</c:f>
              <c:numCache>
                <c:formatCode>General</c:formatCode>
                <c:ptCount val="1"/>
              </c:numCache>
            </c:numRef>
          </c:cat>
          <c:val>
            <c:numRef>
              <c:f>Sheet1!$B$2</c:f>
              <c:numCache>
                <c:formatCode>General</c:formatCode>
                <c:ptCount val="1"/>
                <c:pt idx="0">
                  <c:v>262</c:v>
                </c:pt>
              </c:numCache>
            </c:numRef>
          </c:val>
        </c:ser>
        <c:ser>
          <c:idx val="1"/>
          <c:order val="1"/>
          <c:tx>
            <c:strRef>
              <c:f>Sheet1!$C$1</c:f>
              <c:strCache>
                <c:ptCount val="1"/>
                <c:pt idx="0">
                  <c:v>Export</c:v>
                </c:pt>
              </c:strCache>
            </c:strRef>
          </c:tx>
          <c:dLbls>
            <c:dLbl>
              <c:idx val="0"/>
              <c:layout>
                <c:manualLayout>
                  <c:x val="1.3333333333333341E-2"/>
                  <c:y val="0.11313131313131318"/>
                </c:manualLayout>
              </c:layout>
              <c:tx>
                <c:rich>
                  <a:bodyPr/>
                  <a:lstStyle/>
                  <a:p>
                    <a:r>
                      <a:rPr lang="en-US" b="1">
                        <a:cs typeface="+mn-cs"/>
                      </a:rPr>
                      <a:t>60</a:t>
                    </a:r>
                  </a:p>
                </c:rich>
              </c:tx>
              <c:showVal val="1"/>
            </c:dLbl>
            <c:showVal val="1"/>
          </c:dLbls>
          <c:cat>
            <c:numRef>
              <c:f>Sheet1!$A$2</c:f>
              <c:numCache>
                <c:formatCode>General</c:formatCode>
                <c:ptCount val="1"/>
              </c:numCache>
            </c:numRef>
          </c:cat>
          <c:val>
            <c:numRef>
              <c:f>Sheet1!$C$2</c:f>
              <c:numCache>
                <c:formatCode>General</c:formatCode>
                <c:ptCount val="1"/>
                <c:pt idx="0">
                  <c:v>60</c:v>
                </c:pt>
              </c:numCache>
            </c:numRef>
          </c:val>
        </c:ser>
        <c:ser>
          <c:idx val="2"/>
          <c:order val="2"/>
          <c:tx>
            <c:strRef>
              <c:f>Sheet1!$D$1</c:f>
              <c:strCache>
                <c:ptCount val="1"/>
                <c:pt idx="0">
                  <c:v>Trade Deficit</c:v>
                </c:pt>
              </c:strCache>
            </c:strRef>
          </c:tx>
          <c:dLbls>
            <c:dLbl>
              <c:idx val="0"/>
              <c:layout>
                <c:manualLayout>
                  <c:x val="1.0000000000000051E-2"/>
                  <c:y val="0.2181818181818182"/>
                </c:manualLayout>
              </c:layout>
              <c:spPr/>
              <c:txPr>
                <a:bodyPr/>
                <a:lstStyle/>
                <a:p>
                  <a:pPr>
                    <a:defRPr b="1">
                      <a:cs typeface="+mn-cs"/>
                    </a:defRPr>
                  </a:pPr>
                  <a:endParaRPr lang="ar-SA"/>
                </a:p>
              </c:txPr>
              <c:showVal val="1"/>
            </c:dLbl>
            <c:showVal val="1"/>
          </c:dLbls>
          <c:cat>
            <c:numRef>
              <c:f>Sheet1!$A$2</c:f>
              <c:numCache>
                <c:formatCode>General</c:formatCode>
                <c:ptCount val="1"/>
              </c:numCache>
            </c:numRef>
          </c:cat>
          <c:val>
            <c:numRef>
              <c:f>Sheet1!$D$2</c:f>
              <c:numCache>
                <c:formatCode>General</c:formatCode>
                <c:ptCount val="1"/>
                <c:pt idx="0">
                  <c:v>200</c:v>
                </c:pt>
              </c:numCache>
            </c:numRef>
          </c:val>
        </c:ser>
        <c:axId val="120022144"/>
        <c:axId val="120023680"/>
      </c:barChart>
      <c:catAx>
        <c:axId val="120022144"/>
        <c:scaling>
          <c:orientation val="minMax"/>
        </c:scaling>
        <c:axPos val="b"/>
        <c:numFmt formatCode="General" sourceLinked="1"/>
        <c:majorTickMark val="none"/>
        <c:tickLblPos val="nextTo"/>
        <c:crossAx val="120023680"/>
        <c:crosses val="autoZero"/>
        <c:auto val="1"/>
        <c:lblAlgn val="ctr"/>
        <c:lblOffset val="100"/>
      </c:catAx>
      <c:valAx>
        <c:axId val="120023680"/>
        <c:scaling>
          <c:orientation val="minMax"/>
        </c:scaling>
        <c:axPos val="l"/>
        <c:majorGridlines/>
        <c:numFmt formatCode="General" sourceLinked="1"/>
        <c:majorTickMark val="none"/>
        <c:tickLblPos val="nextTo"/>
        <c:crossAx val="12002214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0AB9F-4B39-49FB-952E-93EC7FEAB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arabi</dc:creator>
  <cp:lastModifiedBy>rsalah</cp:lastModifiedBy>
  <cp:revision>2</cp:revision>
  <cp:lastPrinted>2019-01-10T10:10:00Z</cp:lastPrinted>
  <dcterms:created xsi:type="dcterms:W3CDTF">2019-08-27T07:00:00Z</dcterms:created>
  <dcterms:modified xsi:type="dcterms:W3CDTF">2019-08-27T07:00:00Z</dcterms:modified>
</cp:coreProperties>
</file>